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11"/>
        <w:gridCol w:w="1985"/>
        <w:gridCol w:w="1985"/>
        <w:gridCol w:w="2268"/>
      </w:tblGrid>
      <w:tr w:rsidR="00EF38D0" w:rsidRPr="00086CA3" w14:paraId="64594913" w14:textId="77777777" w:rsidTr="00EF38D0">
        <w:trPr>
          <w:jc w:val="center"/>
        </w:trPr>
        <w:tc>
          <w:tcPr>
            <w:tcW w:w="567" w:type="dxa"/>
            <w:shd w:val="clear" w:color="auto" w:fill="92D050"/>
          </w:tcPr>
          <w:p w14:paraId="358D5E6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shd w:val="clear" w:color="auto" w:fill="92D050"/>
          </w:tcPr>
          <w:p w14:paraId="0B6A9A8A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ΠΡΟΔΙΑΓΡΑΦΕΣ -ΑΠΑΙΤΗΣΕΙΣ</w:t>
            </w:r>
          </w:p>
        </w:tc>
        <w:tc>
          <w:tcPr>
            <w:tcW w:w="1985" w:type="dxa"/>
            <w:shd w:val="clear" w:color="auto" w:fill="92D050"/>
          </w:tcPr>
          <w:p w14:paraId="13B757CF" w14:textId="77777777" w:rsidR="00EF38D0" w:rsidRPr="00086CA3" w:rsidRDefault="00EF38D0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</w:pPr>
            <w:r w:rsidRPr="00086CA3"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ΥΠΟΧΡΕΩΤΙΚΗ ΑΠΑΙΤΗΣΗ</w:t>
            </w:r>
          </w:p>
        </w:tc>
        <w:tc>
          <w:tcPr>
            <w:tcW w:w="1985" w:type="dxa"/>
            <w:shd w:val="clear" w:color="auto" w:fill="92D050"/>
          </w:tcPr>
          <w:p w14:paraId="7BB05219" w14:textId="77777777" w:rsidR="00EF38D0" w:rsidRPr="00086CA3" w:rsidRDefault="00EF38D0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ΑΠΑΝΤΗΣΗ</w:t>
            </w:r>
          </w:p>
        </w:tc>
        <w:tc>
          <w:tcPr>
            <w:tcW w:w="2268" w:type="dxa"/>
            <w:shd w:val="clear" w:color="auto" w:fill="92D050"/>
          </w:tcPr>
          <w:p w14:paraId="364A883C" w14:textId="77777777" w:rsidR="00EF38D0" w:rsidRPr="00086CA3" w:rsidRDefault="00EF38D0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</w:pPr>
            <w:r w:rsidRPr="00086CA3"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EF38D0" w:rsidRPr="00086CA3" w14:paraId="7427F913" w14:textId="77777777" w:rsidTr="00EF38D0">
        <w:trPr>
          <w:jc w:val="center"/>
        </w:trPr>
        <w:tc>
          <w:tcPr>
            <w:tcW w:w="10916" w:type="dxa"/>
            <w:gridSpan w:val="5"/>
            <w:shd w:val="clear" w:color="auto" w:fill="00B0F0"/>
          </w:tcPr>
          <w:p w14:paraId="5055519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Α. Ειδικές απαιτήσεις εξοπλισμού</w:t>
            </w:r>
          </w:p>
        </w:tc>
      </w:tr>
      <w:tr w:rsidR="00EF38D0" w:rsidRPr="00086CA3" w14:paraId="3F831B33" w14:textId="77777777" w:rsidTr="00EF38D0">
        <w:trPr>
          <w:jc w:val="center"/>
        </w:trPr>
        <w:tc>
          <w:tcPr>
            <w:tcW w:w="567" w:type="dxa"/>
          </w:tcPr>
          <w:p w14:paraId="3C8B4B5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4111" w:type="dxa"/>
          </w:tcPr>
          <w:p w14:paraId="46D5D86A" w14:textId="77777777" w:rsidR="00EF38D0" w:rsidRPr="00086CA3" w:rsidRDefault="00EF38D0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Η π</w:t>
            </w:r>
            <w:r w:rsidRPr="00086CA3">
              <w:rPr>
                <w:sz w:val="20"/>
                <w:szCs w:val="20"/>
                <w:lang w:val="el-GR" w:eastAsia="el-GR"/>
              </w:rPr>
              <w:t xml:space="preserve">ροσφορά δίδεται </w:t>
            </w:r>
            <w:r>
              <w:rPr>
                <w:sz w:val="20"/>
                <w:szCs w:val="20"/>
                <w:lang w:val="el-GR" w:eastAsia="el-GR"/>
              </w:rPr>
              <w:t>για το σύνολο των ειδών</w:t>
            </w:r>
          </w:p>
        </w:tc>
        <w:tc>
          <w:tcPr>
            <w:tcW w:w="1985" w:type="dxa"/>
          </w:tcPr>
          <w:p w14:paraId="14DC40D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60B1166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4B56F7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54AE1F87" w14:textId="77777777" w:rsidTr="00EF38D0">
        <w:trPr>
          <w:jc w:val="center"/>
        </w:trPr>
        <w:tc>
          <w:tcPr>
            <w:tcW w:w="567" w:type="dxa"/>
          </w:tcPr>
          <w:p w14:paraId="23B758FB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4111" w:type="dxa"/>
          </w:tcPr>
          <w:p w14:paraId="4BDD6CC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>Τεκμηριωμένη κάλυψη των απαιτήσεων της Διακήρυξης και συμφωνία της προσφοράς με τα ουσιώδη τεχνικά χαρακτηριστικά της Διακήρυξης για το σύνολο των ειδών.</w:t>
            </w:r>
          </w:p>
        </w:tc>
        <w:tc>
          <w:tcPr>
            <w:tcW w:w="1985" w:type="dxa"/>
          </w:tcPr>
          <w:p w14:paraId="08A2CEBC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68E1BDD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73DB0A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4864181D" w14:textId="77777777" w:rsidTr="00EF38D0">
        <w:trPr>
          <w:jc w:val="center"/>
        </w:trPr>
        <w:tc>
          <w:tcPr>
            <w:tcW w:w="567" w:type="dxa"/>
          </w:tcPr>
          <w:p w14:paraId="36FC4E5E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4111" w:type="dxa"/>
          </w:tcPr>
          <w:p w14:paraId="08573B34" w14:textId="77777777" w:rsidR="00EF38D0" w:rsidRPr="00086CA3" w:rsidRDefault="00EF38D0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086CA3">
              <w:rPr>
                <w:sz w:val="20"/>
                <w:szCs w:val="20"/>
                <w:lang w:val="el-GR" w:eastAsia="el-GR"/>
              </w:rPr>
              <w:t>Το προσφερόμενο σύστημα να είναι απολύτως συμβατό και να συνεργάζεται με το</w:t>
            </w:r>
            <w:r>
              <w:rPr>
                <w:sz w:val="20"/>
                <w:szCs w:val="20"/>
                <w:lang w:val="el-GR" w:eastAsia="el-GR"/>
              </w:rPr>
              <w:t xml:space="preserve"> </w:t>
            </w:r>
            <w:r w:rsidRPr="00086CA3">
              <w:rPr>
                <w:sz w:val="20"/>
                <w:szCs w:val="20"/>
                <w:lang w:val="el-GR" w:eastAsia="el-GR"/>
              </w:rPr>
              <w:t xml:space="preserve">υφιστάμενο δίκτυο παρακολούθησης </w:t>
            </w:r>
            <w:r>
              <w:rPr>
                <w:sz w:val="20"/>
                <w:szCs w:val="20"/>
                <w:lang w:val="el-GR" w:eastAsia="el-GR"/>
              </w:rPr>
              <w:t xml:space="preserve">της </w:t>
            </w:r>
            <w:r w:rsidRPr="00086CA3">
              <w:rPr>
                <w:sz w:val="20"/>
                <w:szCs w:val="20"/>
                <w:lang w:val="el-GR" w:eastAsia="el-GR"/>
              </w:rPr>
              <w:t>ποιότητας του αέρα</w:t>
            </w:r>
          </w:p>
        </w:tc>
        <w:tc>
          <w:tcPr>
            <w:tcW w:w="1985" w:type="dxa"/>
          </w:tcPr>
          <w:p w14:paraId="1586DF3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722DB94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5F29245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7C3415B8" w14:textId="77777777" w:rsidTr="00EF38D0">
        <w:trPr>
          <w:jc w:val="center"/>
        </w:trPr>
        <w:tc>
          <w:tcPr>
            <w:tcW w:w="567" w:type="dxa"/>
          </w:tcPr>
          <w:p w14:paraId="42FDE9B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4111" w:type="dxa"/>
          </w:tcPr>
          <w:p w14:paraId="21FB57B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A30907">
              <w:rPr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>Αναλυτ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086CA3">
              <w:rPr>
                <w:sz w:val="20"/>
                <w:szCs w:val="20"/>
                <w:lang w:val="el-GR"/>
              </w:rPr>
              <w:t xml:space="preserve"> ταυτόχρονης μέτρησης σε πραγματικό χρόνο ΑΣ10 και ΑΣ2,5 (όπως περιγράφονται στις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 xml:space="preserve">.1 και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>.2 παραγράφους του κεφαλαίου Α2 των Τεχνικών προδιαγραφών)</w:t>
            </w:r>
          </w:p>
        </w:tc>
        <w:tc>
          <w:tcPr>
            <w:tcW w:w="1985" w:type="dxa"/>
          </w:tcPr>
          <w:p w14:paraId="4260B93C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3AEFDA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B45B4C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1E2F0793" w14:textId="77777777" w:rsidTr="00EF38D0">
        <w:trPr>
          <w:jc w:val="center"/>
        </w:trPr>
        <w:tc>
          <w:tcPr>
            <w:tcW w:w="567" w:type="dxa"/>
          </w:tcPr>
          <w:p w14:paraId="75322A3A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4111" w:type="dxa"/>
          </w:tcPr>
          <w:p w14:paraId="208AF2FA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 w:rsidRPr="00A30907">
              <w:rPr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>Αναλυτ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NO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-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N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Ο2-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NOx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>.3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1985" w:type="dxa"/>
          </w:tcPr>
          <w:p w14:paraId="0D9816B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EAB752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2B9D50C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1D2AED00" w14:textId="77777777" w:rsidTr="00EF38D0">
        <w:trPr>
          <w:jc w:val="center"/>
        </w:trPr>
        <w:tc>
          <w:tcPr>
            <w:tcW w:w="567" w:type="dxa"/>
          </w:tcPr>
          <w:p w14:paraId="0D42608E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4111" w:type="dxa"/>
          </w:tcPr>
          <w:p w14:paraId="467EEC5F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 w:rsidRPr="00A30907">
              <w:rPr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>Αναλυτ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SO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2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>.4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0E3EC89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9A2E92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19D861C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1170A4D2" w14:textId="77777777" w:rsidTr="00EF38D0">
        <w:trPr>
          <w:jc w:val="center"/>
        </w:trPr>
        <w:tc>
          <w:tcPr>
            <w:tcW w:w="567" w:type="dxa"/>
          </w:tcPr>
          <w:p w14:paraId="12D2E23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4111" w:type="dxa"/>
          </w:tcPr>
          <w:p w14:paraId="3F3CD07D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 w:rsidRPr="00A30907">
              <w:rPr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>Αναλυτ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CO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>.5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1B171EF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610B64C9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D264D5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2C2A6D11" w14:textId="77777777" w:rsidTr="00EF38D0">
        <w:trPr>
          <w:jc w:val="center"/>
        </w:trPr>
        <w:tc>
          <w:tcPr>
            <w:tcW w:w="567" w:type="dxa"/>
          </w:tcPr>
          <w:p w14:paraId="296FCCF4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4111" w:type="dxa"/>
          </w:tcPr>
          <w:p w14:paraId="41167D1D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 w:rsidRPr="00A30907">
              <w:rPr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>Αναλυτ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O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2</w:t>
            </w:r>
            <w:r w:rsidRPr="00086CA3">
              <w:rPr>
                <w:sz w:val="20"/>
                <w:szCs w:val="20"/>
                <w:lang w:val="el-GR"/>
              </w:rPr>
              <w:t>.6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16CA9E8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76303E1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3CBCAA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10DDCEE1" w14:textId="77777777" w:rsidTr="00EF38D0">
        <w:trPr>
          <w:jc w:val="center"/>
        </w:trPr>
        <w:tc>
          <w:tcPr>
            <w:tcW w:w="567" w:type="dxa"/>
          </w:tcPr>
          <w:p w14:paraId="72A6FD7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4111" w:type="dxa"/>
          </w:tcPr>
          <w:p w14:paraId="0B55B0D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  <w:r w:rsidRPr="00086CA3">
              <w:rPr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Σύστημα</w:t>
            </w:r>
            <w:r>
              <w:rPr>
                <w:rFonts w:cs="Tahoma"/>
                <w:sz w:val="20"/>
                <w:szCs w:val="20"/>
                <w:lang w:val="el-GR"/>
              </w:rPr>
              <w:t>τα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προσαγωγής δείγματος (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MANIFOLD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)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3</w:t>
            </w:r>
            <w:r w:rsidRPr="00086CA3">
              <w:rPr>
                <w:sz w:val="20"/>
                <w:szCs w:val="20"/>
                <w:lang w:val="el-GR"/>
              </w:rPr>
              <w:t>.1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716E0B6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25B7A24B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10D9DC1C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75119BBD" w14:textId="77777777" w:rsidTr="00EF38D0">
        <w:trPr>
          <w:jc w:val="center"/>
        </w:trPr>
        <w:tc>
          <w:tcPr>
            <w:tcW w:w="567" w:type="dxa"/>
          </w:tcPr>
          <w:p w14:paraId="285643C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10</w:t>
            </w:r>
          </w:p>
        </w:tc>
        <w:tc>
          <w:tcPr>
            <w:tcW w:w="4111" w:type="dxa"/>
          </w:tcPr>
          <w:p w14:paraId="1072684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Μετεωρολογικά αισθητήρια (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T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,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RH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,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WS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,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WD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)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3</w:t>
            </w:r>
            <w:r w:rsidRPr="00086CA3">
              <w:rPr>
                <w:sz w:val="20"/>
                <w:szCs w:val="20"/>
                <w:lang w:val="el-GR"/>
              </w:rPr>
              <w:t>.2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10166C5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4747209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EB9482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75020974" w14:textId="77777777" w:rsidTr="00EF38D0">
        <w:trPr>
          <w:jc w:val="center"/>
        </w:trPr>
        <w:tc>
          <w:tcPr>
            <w:tcW w:w="567" w:type="dxa"/>
          </w:tcPr>
          <w:p w14:paraId="3F909BDE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11</w:t>
            </w:r>
          </w:p>
        </w:tc>
        <w:tc>
          <w:tcPr>
            <w:tcW w:w="4111" w:type="dxa"/>
          </w:tcPr>
          <w:p w14:paraId="29B87761" w14:textId="77777777" w:rsidR="00EF38D0" w:rsidRPr="00086CA3" w:rsidRDefault="00EF38D0" w:rsidP="00680261">
            <w:pPr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Καταγραφικ</w:t>
            </w:r>
            <w:r>
              <w:rPr>
                <w:rFonts w:cs="Tahoma"/>
                <w:sz w:val="20"/>
                <w:szCs w:val="20"/>
                <w:lang w:val="el-GR"/>
              </w:rPr>
              <w:t>ά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με  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router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4</w:t>
            </w:r>
            <w:r w:rsidRPr="00086CA3">
              <w:rPr>
                <w:rFonts w:cs="Tahoma"/>
                <w:sz w:val="20"/>
                <w:szCs w:val="20"/>
                <w:lang w:val="en-US"/>
              </w:rPr>
              <w:t>G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4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24C8950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3E09669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9B161C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2A296DA8" w14:textId="77777777" w:rsidTr="00EF38D0">
        <w:trPr>
          <w:jc w:val="center"/>
        </w:trPr>
        <w:tc>
          <w:tcPr>
            <w:tcW w:w="567" w:type="dxa"/>
          </w:tcPr>
          <w:p w14:paraId="6A319D6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4111" w:type="dxa"/>
          </w:tcPr>
          <w:p w14:paraId="0C6F5DFF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Η/Υ Βιομηχανικού τύπου </w:t>
            </w:r>
            <w:r w:rsidRPr="00086CA3">
              <w:rPr>
                <w:sz w:val="20"/>
                <w:szCs w:val="20"/>
                <w:lang w:val="el-GR"/>
              </w:rPr>
              <w:t>(όπως περιγράφ</w:t>
            </w:r>
            <w:r>
              <w:rPr>
                <w:sz w:val="20"/>
                <w:szCs w:val="20"/>
                <w:lang w:val="el-GR"/>
              </w:rPr>
              <w:t>ονται</w:t>
            </w:r>
            <w:r w:rsidRPr="00086CA3">
              <w:rPr>
                <w:sz w:val="20"/>
                <w:szCs w:val="20"/>
                <w:lang w:val="el-GR"/>
              </w:rPr>
              <w:t xml:space="preserve"> στην </w:t>
            </w:r>
            <w:r>
              <w:rPr>
                <w:sz w:val="20"/>
                <w:szCs w:val="20"/>
                <w:lang w:val="el-GR"/>
              </w:rPr>
              <w:t>4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2775A54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6751692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93B11D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68183DE2" w14:textId="77777777" w:rsidTr="00EF38D0">
        <w:trPr>
          <w:jc w:val="center"/>
        </w:trPr>
        <w:tc>
          <w:tcPr>
            <w:tcW w:w="567" w:type="dxa"/>
          </w:tcPr>
          <w:p w14:paraId="1260911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13</w:t>
            </w:r>
          </w:p>
        </w:tc>
        <w:tc>
          <w:tcPr>
            <w:tcW w:w="4111" w:type="dxa"/>
          </w:tcPr>
          <w:p w14:paraId="1DABB92A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 xml:space="preserve">3 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>Οικίσκο</w:t>
            </w:r>
            <w:r>
              <w:rPr>
                <w:rFonts w:cs="Tahoma"/>
                <w:sz w:val="20"/>
                <w:szCs w:val="20"/>
                <w:lang w:val="el-GR"/>
              </w:rPr>
              <w:t>ι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με επεξηγηματική πινακίδα</w:t>
            </w:r>
            <w:r>
              <w:rPr>
                <w:rFonts w:cs="Tahoma"/>
                <w:sz w:val="20"/>
                <w:szCs w:val="20"/>
                <w:lang w:val="el-GR"/>
              </w:rPr>
              <w:t xml:space="preserve"> για τον καθένα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5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5FEB398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5E09DB0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B23D11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55DEB814" w14:textId="77777777" w:rsidTr="00EF38D0">
        <w:trPr>
          <w:jc w:val="center"/>
        </w:trPr>
        <w:tc>
          <w:tcPr>
            <w:tcW w:w="567" w:type="dxa"/>
          </w:tcPr>
          <w:p w14:paraId="050AF699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14</w:t>
            </w:r>
          </w:p>
        </w:tc>
        <w:tc>
          <w:tcPr>
            <w:tcW w:w="4111" w:type="dxa"/>
          </w:tcPr>
          <w:p w14:paraId="10A309DA" w14:textId="77777777" w:rsidR="00EF38D0" w:rsidRPr="00086CA3" w:rsidRDefault="00EF38D0" w:rsidP="00680261">
            <w:pPr>
              <w:suppressAutoHyphens w:val="0"/>
              <w:spacing w:after="0"/>
              <w:jc w:val="left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 xml:space="preserve">2 </w:t>
            </w:r>
            <w:r>
              <w:rPr>
                <w:rFonts w:cs="Tahoma"/>
                <w:sz w:val="20"/>
                <w:szCs w:val="20"/>
                <w:lang w:val="en-US"/>
              </w:rPr>
              <w:t>Server</w:t>
            </w:r>
            <w:r w:rsidRPr="004F1501">
              <w:rPr>
                <w:rFonts w:cs="Tahoma"/>
                <w:sz w:val="20"/>
                <w:szCs w:val="20"/>
                <w:lang w:val="el-GR"/>
              </w:rPr>
              <w:t xml:space="preserve"> </w:t>
            </w:r>
            <w:r w:rsidRPr="00086CA3">
              <w:rPr>
                <w:sz w:val="20"/>
                <w:szCs w:val="20"/>
                <w:lang w:val="el-GR"/>
              </w:rPr>
              <w:t xml:space="preserve">(όπως περιγράφεται στην </w:t>
            </w:r>
            <w:r>
              <w:rPr>
                <w:sz w:val="20"/>
                <w:szCs w:val="20"/>
                <w:lang w:val="el-GR"/>
              </w:rPr>
              <w:t>7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59BDA17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5AE972E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48EA0C1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66500" w14:paraId="6D7136F3" w14:textId="77777777" w:rsidTr="00EF38D0">
        <w:trPr>
          <w:jc w:val="center"/>
        </w:trPr>
        <w:tc>
          <w:tcPr>
            <w:tcW w:w="10916" w:type="dxa"/>
            <w:gridSpan w:val="5"/>
            <w:shd w:val="clear" w:color="auto" w:fill="00B0F0"/>
          </w:tcPr>
          <w:p w14:paraId="5C48BC6B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  <w:t>Β. Τεχνική Υποστήριξη – Γενικές Απαιτήσεις</w:t>
            </w:r>
          </w:p>
        </w:tc>
      </w:tr>
      <w:tr w:rsidR="00EF38D0" w:rsidRPr="00086CA3" w14:paraId="014D0903" w14:textId="77777777" w:rsidTr="00EF38D0">
        <w:trPr>
          <w:jc w:val="center"/>
        </w:trPr>
        <w:tc>
          <w:tcPr>
            <w:tcW w:w="567" w:type="dxa"/>
          </w:tcPr>
          <w:p w14:paraId="2B55FF9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4111" w:type="dxa"/>
          </w:tcPr>
          <w:p w14:paraId="1D3A17BF" w14:textId="77777777" w:rsidR="00EF38D0" w:rsidRPr="00086CA3" w:rsidRDefault="00EF38D0" w:rsidP="00680261">
            <w:pPr>
              <w:rPr>
                <w:rFonts w:cs="Calibri,Bold"/>
                <w:b/>
                <w:bCs/>
                <w:sz w:val="20"/>
                <w:szCs w:val="20"/>
                <w:lang w:val="el-GR" w:eastAsia="el-GR"/>
              </w:rPr>
            </w:pPr>
            <w:r w:rsidRPr="00086CA3">
              <w:rPr>
                <w:sz w:val="20"/>
                <w:szCs w:val="20"/>
                <w:lang w:val="el-GR"/>
              </w:rPr>
              <w:t>Χ</w:t>
            </w:r>
            <w:r>
              <w:rPr>
                <w:sz w:val="20"/>
                <w:szCs w:val="20"/>
                <w:lang w:val="el-GR"/>
              </w:rPr>
              <w:t>ρόνος παράδοσης εξοπλισμού έως 5</w:t>
            </w:r>
            <w:r w:rsidRPr="00086CA3">
              <w:rPr>
                <w:sz w:val="20"/>
                <w:szCs w:val="20"/>
                <w:lang w:val="el-GR"/>
              </w:rPr>
              <w:t xml:space="preserve"> μήνες</w:t>
            </w:r>
          </w:p>
        </w:tc>
        <w:tc>
          <w:tcPr>
            <w:tcW w:w="1985" w:type="dxa"/>
          </w:tcPr>
          <w:p w14:paraId="58ADCB7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E6335E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5F169B34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55503DB0" w14:textId="77777777" w:rsidTr="00EF38D0">
        <w:trPr>
          <w:jc w:val="center"/>
        </w:trPr>
        <w:tc>
          <w:tcPr>
            <w:tcW w:w="567" w:type="dxa"/>
          </w:tcPr>
          <w:p w14:paraId="035F79E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lastRenderedPageBreak/>
              <w:t>2</w:t>
            </w:r>
          </w:p>
        </w:tc>
        <w:tc>
          <w:tcPr>
            <w:tcW w:w="4111" w:type="dxa"/>
          </w:tcPr>
          <w:p w14:paraId="00D372A7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 xml:space="preserve">Εγγύηση των ειδών καλής λειτουργίας </w:t>
            </w:r>
            <w:r>
              <w:rPr>
                <w:sz w:val="20"/>
                <w:szCs w:val="20"/>
                <w:lang w:val="el-GR"/>
              </w:rPr>
              <w:t>από την υπογραφή της σύμβασης</w:t>
            </w:r>
            <w:r w:rsidRPr="00086CA3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έως τις 31-12-2023</w:t>
            </w:r>
            <w:r w:rsidRPr="004F1501">
              <w:rPr>
                <w:sz w:val="20"/>
                <w:szCs w:val="20"/>
                <w:lang w:val="el-GR"/>
              </w:rPr>
              <w:t xml:space="preserve"> (</w:t>
            </w:r>
            <w:r w:rsidRPr="00086CA3">
              <w:rPr>
                <w:sz w:val="20"/>
                <w:szCs w:val="20"/>
                <w:lang w:val="el-GR"/>
              </w:rPr>
              <w:t xml:space="preserve">όπως περιγράφεται στην </w:t>
            </w:r>
            <w:r>
              <w:rPr>
                <w:sz w:val="20"/>
                <w:szCs w:val="20"/>
                <w:lang w:val="el-GR"/>
              </w:rPr>
              <w:t>6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4AE21B5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5F3F825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227749A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04730B36" w14:textId="77777777" w:rsidTr="00EF38D0">
        <w:trPr>
          <w:jc w:val="center"/>
        </w:trPr>
        <w:tc>
          <w:tcPr>
            <w:tcW w:w="567" w:type="dxa"/>
          </w:tcPr>
          <w:p w14:paraId="025B7C7B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4111" w:type="dxa"/>
          </w:tcPr>
          <w:p w14:paraId="0AC3319C" w14:textId="77777777" w:rsidR="00EF38D0" w:rsidRPr="004F1501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 xml:space="preserve">Βαθμονόμηση </w:t>
            </w:r>
            <w:r>
              <w:rPr>
                <w:sz w:val="20"/>
                <w:szCs w:val="20"/>
                <w:lang w:val="el-GR"/>
              </w:rPr>
              <w:t>από την υπογραφή της σύμβασης</w:t>
            </w:r>
            <w:r w:rsidRPr="00086CA3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έως τις 31-12-2023</w:t>
            </w:r>
            <w:r w:rsidRPr="004F1501">
              <w:rPr>
                <w:sz w:val="20"/>
                <w:szCs w:val="20"/>
                <w:lang w:val="el-GR"/>
              </w:rPr>
              <w:t xml:space="preserve"> (</w:t>
            </w:r>
            <w:r w:rsidRPr="00086CA3">
              <w:rPr>
                <w:sz w:val="20"/>
                <w:szCs w:val="20"/>
                <w:lang w:val="el-GR"/>
              </w:rPr>
              <w:t xml:space="preserve">όπως περιγράφεται στην </w:t>
            </w:r>
            <w:r>
              <w:rPr>
                <w:sz w:val="20"/>
                <w:szCs w:val="20"/>
                <w:lang w:val="el-GR"/>
              </w:rPr>
              <w:t>6</w:t>
            </w:r>
            <w:r w:rsidRPr="00086CA3">
              <w:rPr>
                <w:sz w:val="20"/>
                <w:szCs w:val="20"/>
                <w:lang w:val="el-GR"/>
              </w:rPr>
              <w:t xml:space="preserve"> παράγραφο του κεφαλαίου Α2 των Τεχνικών προδιαγραφών)</w:t>
            </w:r>
            <w:r w:rsidRPr="00086CA3">
              <w:rPr>
                <w:rFonts w:cs="Tahoma"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985" w:type="dxa"/>
          </w:tcPr>
          <w:p w14:paraId="7D52E69E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70662E0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1B00B02A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077E534D" w14:textId="77777777" w:rsidTr="00EF38D0">
        <w:trPr>
          <w:jc w:val="center"/>
        </w:trPr>
        <w:tc>
          <w:tcPr>
            <w:tcW w:w="567" w:type="dxa"/>
          </w:tcPr>
          <w:p w14:paraId="4C81C2D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4111" w:type="dxa"/>
          </w:tcPr>
          <w:p w14:paraId="291BF8F0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>Όλα τα είδη θα συνοδεύονται από βεβαίωση ότι είναι καινούργια</w:t>
            </w:r>
          </w:p>
        </w:tc>
        <w:tc>
          <w:tcPr>
            <w:tcW w:w="1985" w:type="dxa"/>
          </w:tcPr>
          <w:p w14:paraId="3129D25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2C768A67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5AA8597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F38D0" w:rsidRPr="00086CA3" w14:paraId="785A20E9" w14:textId="77777777" w:rsidTr="00EF38D0">
        <w:trPr>
          <w:jc w:val="center"/>
        </w:trPr>
        <w:tc>
          <w:tcPr>
            <w:tcW w:w="567" w:type="dxa"/>
          </w:tcPr>
          <w:p w14:paraId="144E759C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4111" w:type="dxa"/>
          </w:tcPr>
          <w:p w14:paraId="2102A3D6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>Τον προσφέροντα βαρύνουν τα έξοδα συσκευασίας, μεταφοράς και τοποθέτησης και ασφάλισης κατά τη μεταφορά</w:t>
            </w:r>
          </w:p>
        </w:tc>
        <w:tc>
          <w:tcPr>
            <w:tcW w:w="1985" w:type="dxa"/>
          </w:tcPr>
          <w:p w14:paraId="7D540B20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C3BC84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3C7F3D29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F38D0" w:rsidRPr="00086CA3" w14:paraId="6B487D35" w14:textId="77777777" w:rsidTr="00EF38D0">
        <w:trPr>
          <w:jc w:val="center"/>
        </w:trPr>
        <w:tc>
          <w:tcPr>
            <w:tcW w:w="567" w:type="dxa"/>
          </w:tcPr>
          <w:p w14:paraId="34AD94BD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4111" w:type="dxa"/>
          </w:tcPr>
          <w:p w14:paraId="022FE783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>Τον προσφέροντα βαρύνουν τα έξοδα μετακίνησης και διαμονής τεχνικών για την τοποθέτηση, εγκατάσταση και εκπαίδευση χρηστών</w:t>
            </w:r>
          </w:p>
        </w:tc>
        <w:tc>
          <w:tcPr>
            <w:tcW w:w="1985" w:type="dxa"/>
          </w:tcPr>
          <w:p w14:paraId="02D13FB2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30853E7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2BB6CC5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EF38D0" w:rsidRPr="00086CA3" w14:paraId="72715D4E" w14:textId="77777777" w:rsidTr="00EF38D0">
        <w:trPr>
          <w:jc w:val="center"/>
        </w:trPr>
        <w:tc>
          <w:tcPr>
            <w:tcW w:w="567" w:type="dxa"/>
          </w:tcPr>
          <w:p w14:paraId="56F84A93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 w:rsidRPr="00086CA3">
              <w:rPr>
                <w:b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4111" w:type="dxa"/>
          </w:tcPr>
          <w:p w14:paraId="0E51BE99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 xml:space="preserve">Ο προσφέρων αναλαμβάνει την εκπαίδευση τουλάχιστον δύο (2) χειριστών </w:t>
            </w:r>
          </w:p>
        </w:tc>
        <w:tc>
          <w:tcPr>
            <w:tcW w:w="1985" w:type="dxa"/>
          </w:tcPr>
          <w:p w14:paraId="7109BB3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985" w:type="dxa"/>
          </w:tcPr>
          <w:p w14:paraId="1D5FF956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05ED0F51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EF38D0" w:rsidRPr="00086CA3" w14:paraId="1B39BA5C" w14:textId="77777777" w:rsidTr="00EF38D0">
        <w:trPr>
          <w:jc w:val="center"/>
        </w:trPr>
        <w:tc>
          <w:tcPr>
            <w:tcW w:w="567" w:type="dxa"/>
          </w:tcPr>
          <w:p w14:paraId="02157319" w14:textId="77777777" w:rsidR="00EF38D0" w:rsidRPr="00475B6A" w:rsidRDefault="00EF38D0" w:rsidP="0068026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4111" w:type="dxa"/>
          </w:tcPr>
          <w:p w14:paraId="0BED4001" w14:textId="77777777" w:rsidR="00EF38D0" w:rsidRPr="00086CA3" w:rsidRDefault="00EF38D0" w:rsidP="00680261">
            <w:pPr>
              <w:rPr>
                <w:sz w:val="20"/>
                <w:szCs w:val="20"/>
                <w:lang w:val="el-GR"/>
              </w:rPr>
            </w:pPr>
            <w:r w:rsidRPr="00086CA3">
              <w:rPr>
                <w:sz w:val="20"/>
                <w:szCs w:val="20"/>
                <w:lang w:val="el-GR"/>
              </w:rPr>
              <w:t>Ο προσφέρων δηλώνει γενική και πλήρη συμμόρφωση με όλους τους όρους της Διακήρυξης</w:t>
            </w:r>
          </w:p>
        </w:tc>
        <w:tc>
          <w:tcPr>
            <w:tcW w:w="1985" w:type="dxa"/>
          </w:tcPr>
          <w:p w14:paraId="27BD2981" w14:textId="77777777" w:rsidR="00EF38D0" w:rsidRPr="004A102D" w:rsidRDefault="00EF38D0" w:rsidP="0068026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NAI</w:t>
            </w:r>
          </w:p>
        </w:tc>
        <w:tc>
          <w:tcPr>
            <w:tcW w:w="1985" w:type="dxa"/>
          </w:tcPr>
          <w:p w14:paraId="1EEDFABF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2AB92128" w14:textId="77777777" w:rsidR="00EF38D0" w:rsidRPr="00086CA3" w:rsidRDefault="00EF38D0" w:rsidP="00680261">
            <w:pPr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44E55897" w14:textId="77777777" w:rsidR="001B7BEF" w:rsidRDefault="001B7BEF"/>
    <w:sectPr w:rsidR="001B7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D0"/>
    <w:rsid w:val="001B7BEF"/>
    <w:rsid w:val="00E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437E"/>
  <w15:chartTrackingRefBased/>
  <w15:docId w15:val="{7B3AE113-F3C2-47D7-967F-8690B3E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D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2021-05-26T08:50:00Z</dcterms:created>
  <dcterms:modified xsi:type="dcterms:W3CDTF">2021-05-26T08:52:00Z</dcterms:modified>
</cp:coreProperties>
</file>