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05" w:rsidRDefault="008B6C05" w:rsidP="008B6C05">
      <w:pPr>
        <w:spacing w:line="360" w:lineRule="auto"/>
        <w:ind w:firstLine="720"/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  <w:sz w:val="26"/>
          <w:szCs w:val="26"/>
          <w:lang w:eastAsia="el-GR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-267335</wp:posOffset>
            </wp:positionV>
            <wp:extent cx="525780" cy="570230"/>
            <wp:effectExtent l="19050" t="0" r="762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0158" r="46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2051" w:rsidRPr="003B568F" w:rsidRDefault="00BD2051" w:rsidP="008B6C0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3B568F">
        <w:rPr>
          <w:rFonts w:ascii="Times New Roman" w:hAnsi="Times New Roman"/>
          <w:b/>
          <w:sz w:val="26"/>
          <w:szCs w:val="26"/>
        </w:rPr>
        <w:t>ΕΛΛΗΝΙΚΗ ΔΗΜΟΚΡΑΤΙΑ</w:t>
      </w:r>
    </w:p>
    <w:p w:rsidR="00BD2051" w:rsidRPr="003B568F" w:rsidRDefault="00BD2051" w:rsidP="008B6C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568F">
        <w:rPr>
          <w:rFonts w:ascii="Times New Roman" w:hAnsi="Times New Roman"/>
          <w:b/>
          <w:sz w:val="26"/>
          <w:szCs w:val="26"/>
        </w:rPr>
        <w:t>ΠΕΡΙΦΕΡΕΙΑ ΔΥΤΙΚΗΣ ΜΑΚΕΔΟΝΙΑΣ</w:t>
      </w:r>
    </w:p>
    <w:p w:rsidR="00BD2051" w:rsidRPr="003B568F" w:rsidRDefault="00BD2051" w:rsidP="008B6C0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568F">
        <w:rPr>
          <w:rFonts w:ascii="Times New Roman" w:hAnsi="Times New Roman"/>
          <w:b/>
          <w:sz w:val="26"/>
          <w:szCs w:val="26"/>
        </w:rPr>
        <w:t>ΑΝΤΙΠΕΡΙΦΕΡΕΙΑ ΟΙΚΟΝΟΜΙΚΩΝ</w:t>
      </w: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8B6C0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3B568F">
        <w:rPr>
          <w:rFonts w:ascii="Times New Roman" w:hAnsi="Times New Roman"/>
          <w:b/>
          <w:sz w:val="26"/>
          <w:szCs w:val="26"/>
        </w:rPr>
        <w:t>ΑΠΟΛΟΓΙΣΜΟΣ ΠΕΠΡΑΓΜΕΝΩΝ</w:t>
      </w:r>
    </w:p>
    <w:p w:rsidR="00BD2051" w:rsidRPr="003B568F" w:rsidRDefault="00BD2051" w:rsidP="008B6C0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3B568F">
        <w:rPr>
          <w:rFonts w:ascii="Times New Roman" w:hAnsi="Times New Roman"/>
          <w:b/>
          <w:sz w:val="26"/>
          <w:szCs w:val="26"/>
        </w:rPr>
        <w:t>ΑΝΤΙΠΕΡΙΦΕΡ</w:t>
      </w:r>
      <w:r w:rsidR="001F18D9" w:rsidRPr="003B568F">
        <w:rPr>
          <w:rFonts w:ascii="Times New Roman" w:hAnsi="Times New Roman"/>
          <w:b/>
          <w:sz w:val="26"/>
          <w:szCs w:val="26"/>
        </w:rPr>
        <w:t>Ε</w:t>
      </w:r>
      <w:r w:rsidRPr="003B568F">
        <w:rPr>
          <w:rFonts w:ascii="Times New Roman" w:hAnsi="Times New Roman"/>
          <w:b/>
          <w:sz w:val="26"/>
          <w:szCs w:val="26"/>
        </w:rPr>
        <w:t>ΙΑΣ ΟΙΚΟΝΟΜΙΚΩΝ</w:t>
      </w:r>
    </w:p>
    <w:p w:rsidR="00BD2051" w:rsidRPr="003B568F" w:rsidRDefault="00265D9F" w:rsidP="008B6C0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3B568F">
        <w:rPr>
          <w:rFonts w:ascii="Times New Roman" w:hAnsi="Times New Roman"/>
          <w:b/>
          <w:sz w:val="26"/>
          <w:szCs w:val="26"/>
        </w:rPr>
        <w:t>1/1/2016-31/12/2016</w:t>
      </w: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BD2051" w:rsidRPr="003B568F" w:rsidRDefault="00BD2051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24D26" w:rsidRPr="003B568F" w:rsidRDefault="00224D26" w:rsidP="00C96083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C65DC" w:rsidRPr="003B568F" w:rsidRDefault="00265D9F" w:rsidP="00224D26">
      <w:pPr>
        <w:spacing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3B568F">
        <w:rPr>
          <w:rFonts w:ascii="Times New Roman" w:hAnsi="Times New Roman"/>
          <w:b/>
          <w:sz w:val="28"/>
          <w:szCs w:val="28"/>
        </w:rPr>
        <w:lastRenderedPageBreak/>
        <w:t>ΓΕΝΙΚΟ ΠΛΑΙΣΙΟ ΔΡΑΣΕΩΝ ΑΝΤΙΠΕΡΙΦΕΡΕΙΑΣ ΟΙΚΟΝΟΜΙΚΩΝ Π.Δ.Μ.</w:t>
      </w:r>
    </w:p>
    <w:p w:rsidR="000C65DC" w:rsidRPr="003B568F" w:rsidRDefault="00265D9F" w:rsidP="00C9608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Κατάρτιση Προϋπολογισμού 2017</w:t>
      </w:r>
      <w:r w:rsidR="00FD758D" w:rsidRPr="003B568F">
        <w:rPr>
          <w:rFonts w:ascii="Times New Roman" w:hAnsi="Times New Roman"/>
          <w:sz w:val="28"/>
          <w:szCs w:val="28"/>
        </w:rPr>
        <w:t xml:space="preserve"> και Ολοκληρωμένου Πλαισίου Δράσης,  σύμφωνα με τις οδηγίες του αρμόδιου Υπουργείου</w:t>
      </w:r>
      <w:r w:rsidR="00586DD6" w:rsidRPr="003B568F">
        <w:rPr>
          <w:rFonts w:ascii="Times New Roman" w:hAnsi="Times New Roman"/>
          <w:sz w:val="28"/>
          <w:szCs w:val="28"/>
        </w:rPr>
        <w:t>,</w:t>
      </w:r>
    </w:p>
    <w:p w:rsidR="00FD758D" w:rsidRPr="003B568F" w:rsidRDefault="00FD758D" w:rsidP="00C9608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Διαρκής παρακολούθηση του Προϋπολογισμού</w:t>
      </w:r>
      <w:r w:rsidR="00586DD6" w:rsidRPr="003B568F">
        <w:rPr>
          <w:rFonts w:ascii="Times New Roman" w:hAnsi="Times New Roman"/>
          <w:sz w:val="28"/>
          <w:szCs w:val="28"/>
        </w:rPr>
        <w:t>,</w:t>
      </w:r>
    </w:p>
    <w:p w:rsidR="004A3C72" w:rsidRPr="003B568F" w:rsidRDefault="00265D9F" w:rsidP="00C9608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Ο προϋπολογισμός του 2016</w:t>
      </w:r>
      <w:r w:rsidR="00634950" w:rsidRPr="003B568F">
        <w:rPr>
          <w:rFonts w:ascii="Times New Roman" w:hAnsi="Times New Roman"/>
          <w:sz w:val="28"/>
          <w:szCs w:val="28"/>
        </w:rPr>
        <w:t xml:space="preserve"> εκτελέστηκε κανονικά </w:t>
      </w:r>
      <w:r w:rsidRPr="003B568F">
        <w:rPr>
          <w:rFonts w:ascii="Times New Roman" w:hAnsi="Times New Roman"/>
          <w:sz w:val="28"/>
          <w:szCs w:val="28"/>
        </w:rPr>
        <w:t>ενώ</w:t>
      </w:r>
      <w:r w:rsidR="00634950" w:rsidRPr="003B568F">
        <w:rPr>
          <w:rFonts w:ascii="Times New Roman" w:hAnsi="Times New Roman"/>
          <w:sz w:val="28"/>
          <w:szCs w:val="28"/>
        </w:rPr>
        <w:t xml:space="preserve"> πραγματοποιήθηκαν </w:t>
      </w:r>
      <w:r w:rsidR="004A3C72" w:rsidRPr="003B568F">
        <w:rPr>
          <w:rFonts w:ascii="Times New Roman" w:hAnsi="Times New Roman"/>
          <w:sz w:val="28"/>
          <w:szCs w:val="28"/>
        </w:rPr>
        <w:t xml:space="preserve"> </w:t>
      </w:r>
      <w:r w:rsidR="007D4FF9" w:rsidRPr="003B568F">
        <w:rPr>
          <w:rFonts w:ascii="Times New Roman" w:hAnsi="Times New Roman"/>
          <w:sz w:val="28"/>
          <w:szCs w:val="28"/>
        </w:rPr>
        <w:t>22 τροποποιήσεις-αναμορφώσεις</w:t>
      </w:r>
      <w:r w:rsidR="004A3C72" w:rsidRPr="003B568F">
        <w:rPr>
          <w:rFonts w:ascii="Times New Roman" w:hAnsi="Times New Roman"/>
          <w:sz w:val="28"/>
          <w:szCs w:val="28"/>
        </w:rPr>
        <w:t xml:space="preserve"> προϋπολογισμού για την κάλυψη αναγκών ο</w:t>
      </w:r>
      <w:r w:rsidRPr="003B568F">
        <w:rPr>
          <w:rFonts w:ascii="Times New Roman" w:hAnsi="Times New Roman"/>
          <w:sz w:val="28"/>
          <w:szCs w:val="28"/>
        </w:rPr>
        <w:t>ι οποίες προέκυψαν μέσα στο 2016</w:t>
      </w:r>
      <w:r w:rsidR="004A3C72" w:rsidRPr="003B568F">
        <w:rPr>
          <w:rFonts w:ascii="Times New Roman" w:hAnsi="Times New Roman"/>
          <w:sz w:val="28"/>
          <w:szCs w:val="28"/>
        </w:rPr>
        <w:t xml:space="preserve"> έτσι ώστε να είναι πιο αποτελεσματικός ο προϋπολογισμός</w:t>
      </w:r>
      <w:r w:rsidR="00586DD6" w:rsidRPr="003B568F">
        <w:rPr>
          <w:rFonts w:ascii="Times New Roman" w:hAnsi="Times New Roman"/>
          <w:sz w:val="28"/>
          <w:szCs w:val="28"/>
        </w:rPr>
        <w:t>,</w:t>
      </w:r>
    </w:p>
    <w:p w:rsidR="00634950" w:rsidRPr="003B568F" w:rsidRDefault="00265D9F" w:rsidP="00C9608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Σύνταξη απολογισμού 2016</w:t>
      </w:r>
      <w:r w:rsidR="00634950" w:rsidRPr="003B568F">
        <w:rPr>
          <w:rFonts w:ascii="Times New Roman" w:hAnsi="Times New Roman"/>
          <w:sz w:val="28"/>
          <w:szCs w:val="28"/>
        </w:rPr>
        <w:t>,</w:t>
      </w:r>
    </w:p>
    <w:p w:rsidR="003D734A" w:rsidRPr="003B568F" w:rsidRDefault="004A3C72" w:rsidP="00C96083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Πληρωμή και εξόφληση μεγάλου όγκου ενταλμάτων</w:t>
      </w:r>
      <w:r w:rsidR="00265D9F" w:rsidRPr="003B568F">
        <w:rPr>
          <w:rFonts w:ascii="Times New Roman" w:hAnsi="Times New Roman"/>
          <w:sz w:val="28"/>
          <w:szCs w:val="28"/>
        </w:rPr>
        <w:t xml:space="preserve"> </w:t>
      </w:r>
      <w:r w:rsidR="00834E17" w:rsidRPr="003B568F">
        <w:rPr>
          <w:rFonts w:ascii="Times New Roman" w:hAnsi="Times New Roman"/>
          <w:sz w:val="28"/>
          <w:szCs w:val="28"/>
        </w:rPr>
        <w:t xml:space="preserve"> </w:t>
      </w:r>
    </w:p>
    <w:p w:rsidR="004F307B" w:rsidRPr="003B568F" w:rsidRDefault="003D734A" w:rsidP="003D734A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Συνολικά στην Περιφέρεια Δυτικής Μακεδονίας</w:t>
      </w:r>
      <w:r w:rsidR="00224D26" w:rsidRPr="003B568F">
        <w:rPr>
          <w:rFonts w:ascii="Times New Roman" w:hAnsi="Times New Roman"/>
          <w:sz w:val="28"/>
          <w:szCs w:val="28"/>
        </w:rPr>
        <w:t xml:space="preserve"> το 2016</w:t>
      </w:r>
      <w:r w:rsidRPr="003B568F">
        <w:rPr>
          <w:rFonts w:ascii="Times New Roman" w:hAnsi="Times New Roman"/>
          <w:sz w:val="28"/>
          <w:szCs w:val="28"/>
        </w:rPr>
        <w:t xml:space="preserve"> εκδόθηκαν </w:t>
      </w:r>
      <w:r w:rsidR="00224D26" w:rsidRPr="003B568F">
        <w:rPr>
          <w:rFonts w:ascii="Times New Roman" w:hAnsi="Times New Roman"/>
          <w:b/>
          <w:sz w:val="28"/>
          <w:szCs w:val="28"/>
        </w:rPr>
        <w:t>5244</w:t>
      </w:r>
      <w:r w:rsidR="00224D26" w:rsidRPr="003B568F">
        <w:rPr>
          <w:rFonts w:ascii="Times New Roman" w:hAnsi="Times New Roman"/>
          <w:sz w:val="28"/>
          <w:szCs w:val="28"/>
        </w:rPr>
        <w:t xml:space="preserve"> </w:t>
      </w:r>
      <w:r w:rsidRPr="003B568F">
        <w:rPr>
          <w:rFonts w:ascii="Times New Roman" w:hAnsi="Times New Roman"/>
          <w:sz w:val="28"/>
          <w:szCs w:val="28"/>
        </w:rPr>
        <w:t>εντάλμα</w:t>
      </w:r>
      <w:r w:rsidR="00265D9F" w:rsidRPr="003B568F">
        <w:rPr>
          <w:rFonts w:ascii="Times New Roman" w:hAnsi="Times New Roman"/>
          <w:sz w:val="28"/>
          <w:szCs w:val="28"/>
        </w:rPr>
        <w:t xml:space="preserve">τα συνολικού ποσού </w:t>
      </w:r>
      <w:r w:rsidR="00224D26" w:rsidRPr="003B568F">
        <w:rPr>
          <w:rFonts w:ascii="Times New Roman" w:hAnsi="Times New Roman"/>
          <w:b/>
          <w:sz w:val="28"/>
          <w:szCs w:val="28"/>
        </w:rPr>
        <w:t xml:space="preserve">49.278.516,75 </w:t>
      </w:r>
      <w:r w:rsidRPr="003B568F">
        <w:rPr>
          <w:rFonts w:ascii="Times New Roman" w:hAnsi="Times New Roman"/>
          <w:sz w:val="28"/>
          <w:szCs w:val="28"/>
        </w:rPr>
        <w:t xml:space="preserve">€. </w:t>
      </w:r>
    </w:p>
    <w:p w:rsidR="003D734A" w:rsidRPr="003B568F" w:rsidRDefault="003D734A" w:rsidP="003D734A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Αναλυτικά: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8"/>
        <w:gridCol w:w="2631"/>
        <w:gridCol w:w="2523"/>
      </w:tblGrid>
      <w:tr w:rsidR="003D734A" w:rsidRPr="003B568F" w:rsidTr="004D0840">
        <w:tc>
          <w:tcPr>
            <w:tcW w:w="2648" w:type="dxa"/>
          </w:tcPr>
          <w:p w:rsidR="003D734A" w:rsidRPr="003B568F" w:rsidRDefault="003D734A" w:rsidP="004D084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31" w:type="dxa"/>
          </w:tcPr>
          <w:p w:rsidR="003D734A" w:rsidRPr="003B568F" w:rsidRDefault="003D734A" w:rsidP="004D0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sz w:val="26"/>
                <w:szCs w:val="26"/>
              </w:rPr>
              <w:t>Αριθμός Χρηματικών Ενταλμάτων</w:t>
            </w:r>
            <w:r w:rsidR="004F307B" w:rsidRPr="003B568F">
              <w:rPr>
                <w:rFonts w:ascii="Times New Roman" w:hAnsi="Times New Roman"/>
                <w:b/>
                <w:sz w:val="26"/>
                <w:szCs w:val="26"/>
              </w:rPr>
              <w:t xml:space="preserve"> (2015)</w:t>
            </w:r>
          </w:p>
        </w:tc>
        <w:tc>
          <w:tcPr>
            <w:tcW w:w="2523" w:type="dxa"/>
          </w:tcPr>
          <w:p w:rsidR="003D734A" w:rsidRPr="003B568F" w:rsidRDefault="003D734A" w:rsidP="004D0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sz w:val="26"/>
                <w:szCs w:val="26"/>
              </w:rPr>
              <w:t>Αξία σε ευρώ</w:t>
            </w:r>
          </w:p>
        </w:tc>
      </w:tr>
      <w:tr w:rsidR="00157330" w:rsidRPr="003B568F" w:rsidTr="00FD79E2">
        <w:tc>
          <w:tcPr>
            <w:tcW w:w="2648" w:type="dxa"/>
            <w:vAlign w:val="center"/>
          </w:tcPr>
          <w:p w:rsidR="00157330" w:rsidRPr="003B568F" w:rsidRDefault="00157330" w:rsidP="004D08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ΕΔΡΑ</w:t>
            </w:r>
          </w:p>
        </w:tc>
        <w:tc>
          <w:tcPr>
            <w:tcW w:w="2631" w:type="dxa"/>
            <w:vAlign w:val="center"/>
          </w:tcPr>
          <w:p w:rsidR="00157330" w:rsidRPr="003B568F" w:rsidRDefault="00157330" w:rsidP="004D08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823</w:t>
            </w:r>
          </w:p>
        </w:tc>
        <w:tc>
          <w:tcPr>
            <w:tcW w:w="2523" w:type="dxa"/>
            <w:vAlign w:val="center"/>
          </w:tcPr>
          <w:p w:rsidR="00157330" w:rsidRPr="003B568F" w:rsidRDefault="00157330" w:rsidP="004D084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11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312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244,28</w:t>
            </w:r>
          </w:p>
        </w:tc>
      </w:tr>
      <w:tr w:rsidR="00157330" w:rsidRPr="003B568F" w:rsidTr="00FD79E2">
        <w:tc>
          <w:tcPr>
            <w:tcW w:w="2648" w:type="dxa"/>
            <w:vAlign w:val="center"/>
          </w:tcPr>
          <w:p w:rsidR="00157330" w:rsidRPr="003B568F" w:rsidRDefault="00157330" w:rsidP="004D08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Π.Ε. ΚΟΖΑΝΗΣ</w:t>
            </w:r>
          </w:p>
        </w:tc>
        <w:tc>
          <w:tcPr>
            <w:tcW w:w="2631" w:type="dxa"/>
            <w:vAlign w:val="center"/>
          </w:tcPr>
          <w:p w:rsidR="00157330" w:rsidRPr="003B568F" w:rsidRDefault="00157330" w:rsidP="004D08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1349</w:t>
            </w:r>
          </w:p>
        </w:tc>
        <w:tc>
          <w:tcPr>
            <w:tcW w:w="2523" w:type="dxa"/>
            <w:vAlign w:val="center"/>
          </w:tcPr>
          <w:p w:rsidR="00157330" w:rsidRPr="003B568F" w:rsidRDefault="00157330" w:rsidP="004D084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15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095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879,57</w:t>
            </w:r>
          </w:p>
        </w:tc>
      </w:tr>
      <w:tr w:rsidR="003D734A" w:rsidRPr="003B568F" w:rsidTr="004D0840">
        <w:tc>
          <w:tcPr>
            <w:tcW w:w="2648" w:type="dxa"/>
            <w:vAlign w:val="center"/>
          </w:tcPr>
          <w:p w:rsidR="003D734A" w:rsidRPr="003B568F" w:rsidRDefault="003D734A" w:rsidP="004D08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Π.Ε. ΓΡΕΒΕΝΩΝ</w:t>
            </w:r>
          </w:p>
        </w:tc>
        <w:tc>
          <w:tcPr>
            <w:tcW w:w="2631" w:type="dxa"/>
            <w:vAlign w:val="center"/>
          </w:tcPr>
          <w:p w:rsidR="003D734A" w:rsidRPr="003B568F" w:rsidRDefault="00157330" w:rsidP="004D08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586</w:t>
            </w:r>
          </w:p>
        </w:tc>
        <w:tc>
          <w:tcPr>
            <w:tcW w:w="2523" w:type="dxa"/>
            <w:vAlign w:val="center"/>
          </w:tcPr>
          <w:p w:rsidR="003D734A" w:rsidRPr="003B568F" w:rsidRDefault="00157330" w:rsidP="004D084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6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431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508,11</w:t>
            </w:r>
          </w:p>
        </w:tc>
      </w:tr>
      <w:tr w:rsidR="003D734A" w:rsidRPr="003B568F" w:rsidTr="004D0840">
        <w:tc>
          <w:tcPr>
            <w:tcW w:w="2648" w:type="dxa"/>
            <w:vAlign w:val="center"/>
          </w:tcPr>
          <w:p w:rsidR="003D734A" w:rsidRPr="003B568F" w:rsidRDefault="003D734A" w:rsidP="004D08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Π.Ε. ΚΑΣΤΟΡΙΑΣ</w:t>
            </w:r>
          </w:p>
        </w:tc>
        <w:tc>
          <w:tcPr>
            <w:tcW w:w="2631" w:type="dxa"/>
            <w:vAlign w:val="center"/>
          </w:tcPr>
          <w:p w:rsidR="003D734A" w:rsidRPr="003B568F" w:rsidRDefault="00157330" w:rsidP="004D08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1242</w:t>
            </w:r>
          </w:p>
        </w:tc>
        <w:tc>
          <w:tcPr>
            <w:tcW w:w="2523" w:type="dxa"/>
            <w:vAlign w:val="center"/>
          </w:tcPr>
          <w:p w:rsidR="003D734A" w:rsidRPr="003B568F" w:rsidRDefault="00157330" w:rsidP="004D084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7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640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898,59</w:t>
            </w:r>
          </w:p>
        </w:tc>
      </w:tr>
      <w:tr w:rsidR="003D734A" w:rsidRPr="003B568F" w:rsidTr="004D0840">
        <w:tc>
          <w:tcPr>
            <w:tcW w:w="2648" w:type="dxa"/>
            <w:vAlign w:val="center"/>
          </w:tcPr>
          <w:p w:rsidR="003D734A" w:rsidRPr="003B568F" w:rsidRDefault="003D734A" w:rsidP="004D08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Π.Ε. ΦΛΩΡΙΝΑΣ</w:t>
            </w:r>
          </w:p>
        </w:tc>
        <w:tc>
          <w:tcPr>
            <w:tcW w:w="2631" w:type="dxa"/>
            <w:vAlign w:val="center"/>
          </w:tcPr>
          <w:p w:rsidR="003D734A" w:rsidRPr="003B568F" w:rsidRDefault="00157330" w:rsidP="004D08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1244</w:t>
            </w:r>
          </w:p>
        </w:tc>
        <w:tc>
          <w:tcPr>
            <w:tcW w:w="2523" w:type="dxa"/>
            <w:vAlign w:val="center"/>
          </w:tcPr>
          <w:p w:rsidR="003D734A" w:rsidRPr="003B568F" w:rsidRDefault="00157330" w:rsidP="004D084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8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797</w:t>
            </w:r>
            <w:r w:rsidRPr="003B568F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3B568F">
              <w:rPr>
                <w:rFonts w:ascii="Times New Roman" w:hAnsi="Times New Roman"/>
                <w:sz w:val="26"/>
                <w:szCs w:val="26"/>
              </w:rPr>
              <w:t>986,2</w:t>
            </w:r>
          </w:p>
        </w:tc>
      </w:tr>
      <w:tr w:rsidR="003D734A" w:rsidRPr="003B568F" w:rsidTr="004D0840">
        <w:tc>
          <w:tcPr>
            <w:tcW w:w="2648" w:type="dxa"/>
            <w:vAlign w:val="center"/>
          </w:tcPr>
          <w:p w:rsidR="003D734A" w:rsidRPr="003B568F" w:rsidRDefault="003D734A" w:rsidP="004D084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sz w:val="26"/>
                <w:szCs w:val="26"/>
              </w:rPr>
              <w:t>ΣΥΝΟΛΟ</w:t>
            </w:r>
          </w:p>
        </w:tc>
        <w:tc>
          <w:tcPr>
            <w:tcW w:w="2631" w:type="dxa"/>
            <w:vAlign w:val="center"/>
          </w:tcPr>
          <w:p w:rsidR="003D734A" w:rsidRPr="003B568F" w:rsidRDefault="00157330" w:rsidP="004D0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B568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5244</w:t>
            </w:r>
          </w:p>
        </w:tc>
        <w:tc>
          <w:tcPr>
            <w:tcW w:w="2523" w:type="dxa"/>
            <w:vAlign w:val="center"/>
          </w:tcPr>
          <w:p w:rsidR="003D734A" w:rsidRPr="003B568F" w:rsidRDefault="00157330" w:rsidP="004D084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B568F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49.278.516,75</w:t>
            </w:r>
          </w:p>
        </w:tc>
      </w:tr>
    </w:tbl>
    <w:p w:rsidR="004A3C72" w:rsidRPr="003B568F" w:rsidRDefault="00834E17" w:rsidP="003D734A">
      <w:pPr>
        <w:spacing w:line="360" w:lineRule="auto"/>
        <w:ind w:left="720"/>
        <w:jc w:val="both"/>
        <w:rPr>
          <w:rFonts w:ascii="Times New Roman" w:hAnsi="Times New Roman"/>
          <w:sz w:val="26"/>
          <w:szCs w:val="26"/>
        </w:rPr>
      </w:pPr>
      <w:r w:rsidRPr="003B568F">
        <w:rPr>
          <w:rFonts w:ascii="Times New Roman" w:hAnsi="Times New Roman"/>
          <w:sz w:val="26"/>
          <w:szCs w:val="26"/>
        </w:rPr>
        <w:t xml:space="preserve"> </w:t>
      </w:r>
    </w:p>
    <w:p w:rsidR="00834E17" w:rsidRPr="003B568F" w:rsidRDefault="00224D26" w:rsidP="003B568F">
      <w:pPr>
        <w:spacing w:line="360" w:lineRule="auto"/>
        <w:ind w:right="-625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 xml:space="preserve">Πετύχαμε </w:t>
      </w:r>
      <w:r w:rsidR="00FD79E2" w:rsidRPr="003B568F">
        <w:rPr>
          <w:rFonts w:ascii="Times New Roman" w:hAnsi="Times New Roman"/>
          <w:sz w:val="28"/>
          <w:szCs w:val="28"/>
        </w:rPr>
        <w:t>εξορθολογισμό</w:t>
      </w:r>
      <w:r w:rsidR="00AA65E6" w:rsidRPr="003B568F">
        <w:rPr>
          <w:rFonts w:ascii="Times New Roman" w:hAnsi="Times New Roman"/>
          <w:sz w:val="28"/>
          <w:szCs w:val="28"/>
        </w:rPr>
        <w:t xml:space="preserve"> των δαπανών που αφορούν σε μισθώματα, λειτουργικά έξοδα και συνδιορ</w:t>
      </w:r>
      <w:r w:rsidRPr="003B568F">
        <w:rPr>
          <w:rFonts w:ascii="Times New Roman" w:hAnsi="Times New Roman"/>
          <w:sz w:val="28"/>
          <w:szCs w:val="28"/>
        </w:rPr>
        <w:t>γάνωσης πολιτιστικών εκδηλώσεων.</w:t>
      </w:r>
    </w:p>
    <w:p w:rsidR="00221E9B" w:rsidRPr="003B568F" w:rsidRDefault="00834E17" w:rsidP="003B568F">
      <w:pPr>
        <w:spacing w:line="360" w:lineRule="auto"/>
        <w:ind w:right="-625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 xml:space="preserve">Οι προμηθευτές και οι συμβαλλόμενοι με την Περιφέρεια Δυτικής Μακεδονίας γνωρίζουν ότι ελέγχουμε </w:t>
      </w:r>
      <w:r w:rsidR="00FD79E2" w:rsidRPr="003B568F">
        <w:rPr>
          <w:rFonts w:ascii="Times New Roman" w:hAnsi="Times New Roman"/>
          <w:sz w:val="28"/>
          <w:szCs w:val="28"/>
        </w:rPr>
        <w:t xml:space="preserve">τις </w:t>
      </w:r>
      <w:r w:rsidRPr="003B568F">
        <w:rPr>
          <w:rFonts w:ascii="Times New Roman" w:hAnsi="Times New Roman"/>
          <w:sz w:val="28"/>
          <w:szCs w:val="28"/>
        </w:rPr>
        <w:t>παρεχόμενες υπηρεσίες</w:t>
      </w:r>
      <w:r w:rsidR="00FD79E2" w:rsidRPr="003B568F">
        <w:rPr>
          <w:rFonts w:ascii="Times New Roman" w:hAnsi="Times New Roman"/>
          <w:sz w:val="28"/>
          <w:szCs w:val="28"/>
        </w:rPr>
        <w:t xml:space="preserve">, δεν αποκλείουμε κανέναν από τις διαγωνιστικές διαδικασίες λειτουργούμε δίνοντας πρόσβαση στην πληροφόρηση σε όλους τους </w:t>
      </w:r>
      <w:r w:rsidR="00FD79E2" w:rsidRPr="003B568F">
        <w:rPr>
          <w:rFonts w:ascii="Times New Roman" w:hAnsi="Times New Roman"/>
          <w:sz w:val="28"/>
          <w:szCs w:val="28"/>
        </w:rPr>
        <w:lastRenderedPageBreak/>
        <w:t>ενδιαφερόμενους,</w:t>
      </w:r>
      <w:r w:rsidRPr="003B568F">
        <w:rPr>
          <w:rFonts w:ascii="Times New Roman" w:hAnsi="Times New Roman"/>
          <w:sz w:val="28"/>
          <w:szCs w:val="28"/>
        </w:rPr>
        <w:t xml:space="preserve"> ενώ παράλληλα ανταποκρινόμαστε στις υποχρεώσεις μας το συντομότερο δυνατό</w:t>
      </w:r>
      <w:r w:rsidR="00FD79E2" w:rsidRPr="003B568F">
        <w:rPr>
          <w:rFonts w:ascii="Times New Roman" w:hAnsi="Times New Roman"/>
          <w:sz w:val="28"/>
          <w:szCs w:val="28"/>
        </w:rPr>
        <w:t xml:space="preserve"> </w:t>
      </w:r>
      <w:r w:rsidRPr="003B568F">
        <w:rPr>
          <w:rFonts w:ascii="Times New Roman" w:hAnsi="Times New Roman"/>
          <w:sz w:val="28"/>
          <w:szCs w:val="28"/>
        </w:rPr>
        <w:t>.</w:t>
      </w:r>
    </w:p>
    <w:p w:rsidR="00965FB7" w:rsidRPr="003B568F" w:rsidRDefault="00FD79E2" w:rsidP="003B568F">
      <w:pPr>
        <w:spacing w:line="360" w:lineRule="auto"/>
        <w:ind w:right="-625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Μας ενδιαφέρει πάρα πολύ η κατάρτιση των υπαλλήλων-</w:t>
      </w:r>
      <w:r w:rsidR="00864019" w:rsidRPr="003B568F">
        <w:rPr>
          <w:rFonts w:ascii="Times New Roman" w:hAnsi="Times New Roman"/>
          <w:sz w:val="28"/>
          <w:szCs w:val="28"/>
        </w:rPr>
        <w:t>στελεχών των οικον</w:t>
      </w:r>
      <w:r w:rsidR="005D40D0" w:rsidRPr="003B568F">
        <w:rPr>
          <w:rFonts w:ascii="Times New Roman" w:hAnsi="Times New Roman"/>
          <w:sz w:val="28"/>
          <w:szCs w:val="28"/>
        </w:rPr>
        <w:t xml:space="preserve">ομικών υπηρεσιών </w:t>
      </w:r>
      <w:r w:rsidRPr="003B568F">
        <w:rPr>
          <w:rFonts w:ascii="Times New Roman" w:hAnsi="Times New Roman"/>
          <w:sz w:val="28"/>
          <w:szCs w:val="28"/>
        </w:rPr>
        <w:t xml:space="preserve">με </w:t>
      </w:r>
      <w:r w:rsidR="005D40D0" w:rsidRPr="003B568F">
        <w:rPr>
          <w:rFonts w:ascii="Times New Roman" w:hAnsi="Times New Roman"/>
          <w:sz w:val="28"/>
          <w:szCs w:val="28"/>
        </w:rPr>
        <w:t>επιμορφω</w:t>
      </w:r>
      <w:r w:rsidR="00864019" w:rsidRPr="003B568F">
        <w:rPr>
          <w:rFonts w:ascii="Times New Roman" w:hAnsi="Times New Roman"/>
          <w:sz w:val="28"/>
          <w:szCs w:val="28"/>
        </w:rPr>
        <w:t>τικά σεμινάρια</w:t>
      </w:r>
      <w:r w:rsidRPr="003B568F">
        <w:rPr>
          <w:rFonts w:ascii="Times New Roman" w:hAnsi="Times New Roman"/>
          <w:sz w:val="28"/>
          <w:szCs w:val="28"/>
        </w:rPr>
        <w:t xml:space="preserve"> που αφορούν</w:t>
      </w:r>
      <w:r w:rsidR="00D0363F" w:rsidRPr="003B568F">
        <w:rPr>
          <w:rFonts w:ascii="Times New Roman" w:hAnsi="Times New Roman"/>
          <w:sz w:val="28"/>
          <w:szCs w:val="28"/>
        </w:rPr>
        <w:t xml:space="preserve"> την διαδικασία των ηλεκτρονικών διαγωνισμών και της ηλεκτρονικής διακυβέρνησης</w:t>
      </w:r>
      <w:r w:rsidR="008C1DD8" w:rsidRPr="003B568F">
        <w:rPr>
          <w:rFonts w:ascii="Times New Roman" w:hAnsi="Times New Roman"/>
          <w:sz w:val="28"/>
          <w:szCs w:val="28"/>
        </w:rPr>
        <w:t>.</w:t>
      </w:r>
    </w:p>
    <w:p w:rsidR="00F632C8" w:rsidRPr="003B568F" w:rsidRDefault="008C1DD8" w:rsidP="003B568F">
      <w:pPr>
        <w:spacing w:line="360" w:lineRule="auto"/>
        <w:ind w:right="-625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Βρισκό</w:t>
      </w:r>
      <w:r w:rsidR="003B568F" w:rsidRPr="003B568F">
        <w:rPr>
          <w:rFonts w:ascii="Times New Roman" w:hAnsi="Times New Roman"/>
          <w:sz w:val="28"/>
          <w:szCs w:val="28"/>
        </w:rPr>
        <w:t>μαστε σε αγαστή συνεργασία με τις</w:t>
      </w:r>
      <w:r w:rsidRPr="003B568F">
        <w:rPr>
          <w:rFonts w:ascii="Times New Roman" w:hAnsi="Times New Roman"/>
          <w:sz w:val="28"/>
          <w:szCs w:val="28"/>
        </w:rPr>
        <w:t xml:space="preserve"> Δ/νσεις Οικονομικών όλων των Ενοτήτων και της Έδρας με στόχο την καλύτερη λειτουργία και την συνεχής βελτίωση των παρεχόμενων υπηρεσιών προς τον πολίτη</w:t>
      </w:r>
      <w:r w:rsidR="00807320" w:rsidRPr="003B568F">
        <w:rPr>
          <w:rFonts w:ascii="Times New Roman" w:hAnsi="Times New Roman"/>
          <w:sz w:val="28"/>
          <w:szCs w:val="28"/>
        </w:rPr>
        <w:t>.</w:t>
      </w:r>
    </w:p>
    <w:p w:rsidR="00864019" w:rsidRPr="003B568F" w:rsidRDefault="00864019" w:rsidP="00224D2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B568F">
        <w:rPr>
          <w:rFonts w:ascii="Times New Roman" w:hAnsi="Times New Roman"/>
          <w:b/>
          <w:sz w:val="28"/>
          <w:szCs w:val="28"/>
          <w:u w:val="single"/>
        </w:rPr>
        <w:t>ΤΑΜΕΙΑΚΟ ΥΠΟΛΟΙΠΟ</w:t>
      </w:r>
    </w:p>
    <w:p w:rsidR="00965FB7" w:rsidRPr="003B568F" w:rsidRDefault="0043069D" w:rsidP="00221E9B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Το Ταμειακό διαθέσιμο υπόλοιπο στο τέλος του έτους 20</w:t>
      </w:r>
      <w:r w:rsidR="008D4213" w:rsidRPr="003B568F">
        <w:rPr>
          <w:rFonts w:ascii="Times New Roman" w:hAnsi="Times New Roman"/>
          <w:sz w:val="28"/>
          <w:szCs w:val="28"/>
        </w:rPr>
        <w:t>16</w:t>
      </w:r>
      <w:r w:rsidRPr="003B568F">
        <w:rPr>
          <w:rFonts w:ascii="Times New Roman" w:hAnsi="Times New Roman"/>
          <w:sz w:val="28"/>
          <w:szCs w:val="28"/>
        </w:rPr>
        <w:t xml:space="preserve"> ανέρχεται συνολικά για όλη την Π.Δ.Μ. στο ποσό των  </w:t>
      </w:r>
      <w:r w:rsidR="003B568F" w:rsidRPr="003B568F">
        <w:rPr>
          <w:rFonts w:ascii="Times New Roman" w:hAnsi="Times New Roman"/>
          <w:b/>
          <w:bCs/>
          <w:sz w:val="28"/>
          <w:szCs w:val="28"/>
        </w:rPr>
        <w:t>47.895.089,99 €</w:t>
      </w:r>
      <w:r w:rsidRPr="003B568F">
        <w:rPr>
          <w:rFonts w:ascii="Times New Roman" w:hAnsi="Times New Roman"/>
          <w:sz w:val="28"/>
          <w:szCs w:val="28"/>
        </w:rPr>
        <w:t xml:space="preserve"> και αναλυτικότερα φαίνεται στον πίνακα παρακάτω. </w:t>
      </w:r>
    </w:p>
    <w:tbl>
      <w:tblPr>
        <w:tblW w:w="10997" w:type="dxa"/>
        <w:tblInd w:w="-318" w:type="dxa"/>
        <w:tblLook w:val="04A0"/>
      </w:tblPr>
      <w:tblGrid>
        <w:gridCol w:w="2137"/>
        <w:gridCol w:w="2860"/>
        <w:gridCol w:w="2860"/>
        <w:gridCol w:w="2904"/>
        <w:gridCol w:w="236"/>
      </w:tblGrid>
      <w:tr w:rsidR="00807320" w:rsidRPr="003B568F" w:rsidTr="003B568F">
        <w:trPr>
          <w:trHeight w:val="126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>2016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20" w:rsidRPr="003B568F" w:rsidRDefault="00807320" w:rsidP="00807320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>ΤΑΜΕΙΑΚΟ ΥΠΟΛΟΙΠΟ 31-12-2016                   ΤΡΑΠΕΖΑ ΠΕΙΡΑΙΩΣ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20" w:rsidRPr="003B568F" w:rsidRDefault="00807320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>ΤΑΜΕΙΑΚΟ ΥΠΟΛΟΙΠΟ 31-12-2016                   ΤΡΑΠΕΖΑ ΕΛΛΑΔΟΣ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320" w:rsidRPr="003B568F" w:rsidRDefault="00807320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>ΤΑΜΕΙΑΚΟ ΥΠΟΛΟΙΠΟ ΠΟΥ ΜΕΤΑΦΕΡΕΤΑΙ ΣΤΟ 2017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07320" w:rsidRPr="003B568F" w:rsidTr="003B568F">
        <w:trPr>
          <w:trHeight w:val="402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ΕΔΡΑ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2.156.992,74 €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7.071.158,58 €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1F18D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9.601.871,41</w:t>
            </w:r>
            <w:r w:rsidR="00807320" w:rsidRPr="003B568F">
              <w:rPr>
                <w:rFonts w:ascii="Times New Roman" w:hAnsi="Times New Roman"/>
                <w:sz w:val="26"/>
                <w:szCs w:val="26"/>
              </w:rPr>
              <w:t xml:space="preserve"> €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07320" w:rsidRPr="003B568F" w:rsidTr="003B568F">
        <w:trPr>
          <w:trHeight w:val="402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Π.Ε.ΚΟΖΑΝΗΣ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3.201.638,88 €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7.280.158,63 €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10.481.797,51 €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07320" w:rsidRPr="003B568F" w:rsidTr="003B568F">
        <w:trPr>
          <w:trHeight w:val="402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Π.Ε.ΓΡΕΒΕΝΩΝ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1.533.339,78 €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7.623.454,46 €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9.156.794,24 €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07320" w:rsidRPr="003B568F" w:rsidTr="003B568F">
        <w:trPr>
          <w:trHeight w:val="402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Π.Ε.ΚΑΣΤΟΡΙΑΣ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2.279.203,66 €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5.509.879,39 €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7.789.083,05 €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07320" w:rsidRPr="003B568F" w:rsidTr="003B568F">
        <w:trPr>
          <w:trHeight w:val="402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Π.Ε.ΦΛΩΡΙΝΑΣ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5.084.230,68 €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5.781.313,10 €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B568F">
              <w:rPr>
                <w:rFonts w:ascii="Times New Roman" w:hAnsi="Times New Roman"/>
                <w:sz w:val="26"/>
                <w:szCs w:val="26"/>
              </w:rPr>
              <w:t>10.865.543,78 €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07320" w:rsidRPr="003B568F" w:rsidTr="003B568F">
        <w:trPr>
          <w:trHeight w:val="402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>ΣΥΝΟΛΟ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>14.255.405,74 €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>33.265.964,16 €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07320" w:rsidRPr="003B568F" w:rsidRDefault="001F18D9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>47.895.089,99</w:t>
            </w:r>
            <w:r w:rsidR="00807320" w:rsidRPr="003B568F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€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07320" w:rsidRPr="003B568F" w:rsidTr="003B568F">
        <w:trPr>
          <w:trHeight w:val="402"/>
        </w:trPr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  <w:r w:rsidRPr="003B568F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  <w:r w:rsidRPr="003B568F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  <w:r w:rsidRPr="003B568F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  <w:r w:rsidRPr="003B568F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320" w:rsidRPr="003B568F" w:rsidRDefault="00807320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92157B" w:rsidRPr="003B568F" w:rsidRDefault="0092157B" w:rsidP="002740D9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3B568F" w:rsidRDefault="003B568F" w:rsidP="00C96083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B568F" w:rsidRDefault="003B568F" w:rsidP="00C96083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4B730D" w:rsidRPr="003B568F" w:rsidRDefault="003B5AFD" w:rsidP="00C96083">
      <w:pPr>
        <w:spacing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B568F">
        <w:rPr>
          <w:rFonts w:ascii="Times New Roman" w:hAnsi="Times New Roman"/>
          <w:b/>
          <w:sz w:val="28"/>
          <w:szCs w:val="28"/>
          <w:u w:val="single"/>
        </w:rPr>
        <w:lastRenderedPageBreak/>
        <w:t>Ο</w:t>
      </w:r>
      <w:r w:rsidR="0049156F" w:rsidRPr="003B568F">
        <w:rPr>
          <w:rFonts w:ascii="Times New Roman" w:hAnsi="Times New Roman"/>
          <w:b/>
          <w:sz w:val="28"/>
          <w:szCs w:val="28"/>
          <w:u w:val="single"/>
        </w:rPr>
        <w:t>ΙΚΟΝΟΜΙΚΗ ΕΠΙΤΡΟΠΗ Π.Δ.Μ.</w:t>
      </w:r>
    </w:p>
    <w:p w:rsidR="003B5AFD" w:rsidRPr="003B568F" w:rsidRDefault="007A2AD6" w:rsidP="00625A4B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 xml:space="preserve">Κατά το έτος </w:t>
      </w:r>
      <w:r w:rsidR="008D4213" w:rsidRPr="003B568F">
        <w:rPr>
          <w:rFonts w:ascii="Times New Roman" w:hAnsi="Times New Roman"/>
          <w:sz w:val="28"/>
          <w:szCs w:val="28"/>
        </w:rPr>
        <w:t>2016</w:t>
      </w:r>
      <w:r w:rsidR="00807320" w:rsidRPr="003B568F">
        <w:rPr>
          <w:rFonts w:ascii="Times New Roman" w:hAnsi="Times New Roman"/>
          <w:sz w:val="28"/>
          <w:szCs w:val="28"/>
        </w:rPr>
        <w:t xml:space="preserve"> πραγματοποιήθηκαν </w:t>
      </w:r>
      <w:r w:rsidR="00807320" w:rsidRPr="003B568F">
        <w:rPr>
          <w:rFonts w:ascii="Times New Roman" w:hAnsi="Times New Roman"/>
          <w:b/>
          <w:sz w:val="28"/>
          <w:szCs w:val="28"/>
        </w:rPr>
        <w:t xml:space="preserve">55 </w:t>
      </w:r>
      <w:r w:rsidRPr="003B568F">
        <w:rPr>
          <w:rFonts w:ascii="Times New Roman" w:hAnsi="Times New Roman"/>
          <w:sz w:val="28"/>
          <w:szCs w:val="28"/>
        </w:rPr>
        <w:t>συνεδριάσεις</w:t>
      </w:r>
      <w:r w:rsidR="00290B4C" w:rsidRPr="003B568F">
        <w:rPr>
          <w:rFonts w:ascii="Times New Roman" w:hAnsi="Times New Roman"/>
          <w:sz w:val="28"/>
          <w:szCs w:val="28"/>
        </w:rPr>
        <w:t xml:space="preserve"> από τις </w:t>
      </w:r>
      <w:r w:rsidR="00B72F1C" w:rsidRPr="003B568F">
        <w:rPr>
          <w:rFonts w:ascii="Times New Roman" w:hAnsi="Times New Roman"/>
          <w:sz w:val="28"/>
          <w:szCs w:val="28"/>
        </w:rPr>
        <w:t xml:space="preserve">οποίες οι </w:t>
      </w:r>
      <w:r w:rsidR="00807320" w:rsidRPr="003B568F">
        <w:rPr>
          <w:rFonts w:ascii="Times New Roman" w:hAnsi="Times New Roman"/>
          <w:b/>
          <w:sz w:val="28"/>
          <w:szCs w:val="28"/>
        </w:rPr>
        <w:t>6</w:t>
      </w:r>
      <w:r w:rsidR="00807320" w:rsidRPr="003B568F">
        <w:rPr>
          <w:rFonts w:ascii="Times New Roman" w:hAnsi="Times New Roman"/>
          <w:sz w:val="28"/>
          <w:szCs w:val="28"/>
        </w:rPr>
        <w:t xml:space="preserve"> </w:t>
      </w:r>
      <w:r w:rsidR="00290B4C" w:rsidRPr="003B568F">
        <w:rPr>
          <w:rFonts w:ascii="Times New Roman" w:hAnsi="Times New Roman"/>
          <w:sz w:val="28"/>
          <w:szCs w:val="28"/>
        </w:rPr>
        <w:t>έκτακτες</w:t>
      </w:r>
      <w:r w:rsidR="00B72F1C" w:rsidRPr="003B568F">
        <w:rPr>
          <w:rFonts w:ascii="Times New Roman" w:hAnsi="Times New Roman"/>
          <w:sz w:val="28"/>
          <w:szCs w:val="28"/>
        </w:rPr>
        <w:t xml:space="preserve"> προκειμένου </w:t>
      </w:r>
      <w:r w:rsidR="00625A4B" w:rsidRPr="003B568F">
        <w:rPr>
          <w:rFonts w:ascii="Times New Roman" w:hAnsi="Times New Roman"/>
          <w:sz w:val="28"/>
          <w:szCs w:val="28"/>
        </w:rPr>
        <w:t>να αντιμετωπιστούν οι ανάγκες</w:t>
      </w:r>
      <w:r w:rsidR="00D21696" w:rsidRPr="003B568F">
        <w:rPr>
          <w:rFonts w:ascii="Times New Roman" w:hAnsi="Times New Roman"/>
          <w:sz w:val="28"/>
          <w:szCs w:val="28"/>
        </w:rPr>
        <w:t xml:space="preserve"> που προέκυπτ</w:t>
      </w:r>
      <w:r w:rsidR="003B5AFD" w:rsidRPr="003B568F">
        <w:rPr>
          <w:rFonts w:ascii="Times New Roman" w:hAnsi="Times New Roman"/>
          <w:sz w:val="28"/>
          <w:szCs w:val="28"/>
        </w:rPr>
        <w:t xml:space="preserve">αν και εκδόθηκαν </w:t>
      </w:r>
      <w:r w:rsidR="00807320" w:rsidRPr="003B568F">
        <w:rPr>
          <w:rFonts w:ascii="Times New Roman" w:hAnsi="Times New Roman"/>
          <w:b/>
          <w:sz w:val="28"/>
          <w:szCs w:val="28"/>
        </w:rPr>
        <w:t>2439</w:t>
      </w:r>
      <w:r w:rsidR="006E12CB" w:rsidRPr="003B568F">
        <w:rPr>
          <w:rFonts w:ascii="Times New Roman" w:hAnsi="Times New Roman"/>
          <w:sz w:val="28"/>
          <w:szCs w:val="28"/>
        </w:rPr>
        <w:t xml:space="preserve">  </w:t>
      </w:r>
      <w:r w:rsidR="003B5AFD" w:rsidRPr="003B568F">
        <w:rPr>
          <w:rFonts w:ascii="Times New Roman" w:hAnsi="Times New Roman"/>
          <w:sz w:val="28"/>
          <w:szCs w:val="28"/>
        </w:rPr>
        <w:t>αποφάσεις.</w:t>
      </w:r>
    </w:p>
    <w:p w:rsidR="00DF43CC" w:rsidRPr="003B568F" w:rsidRDefault="00E460DB" w:rsidP="00224D2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Η Οικονομική επιτροπή επίσης ενέκρινε τα αποτελέσματα όλων των διαγωνισμών Έργων και Προμηθειών οι οποίοι αναφέρονται αναλυτικά στους απολογισμούς των Δ/νσεων Τεχνικών Έργων και Οικονομικού κάθε Περιφερειακής Ενότητας και της Έδρας.</w:t>
      </w:r>
    </w:p>
    <w:p w:rsidR="003B568F" w:rsidRDefault="003B568F" w:rsidP="0013573C">
      <w:pPr>
        <w:spacing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E18AE" w:rsidRPr="003B568F" w:rsidRDefault="007C4430" w:rsidP="0013573C">
      <w:pPr>
        <w:spacing w:line="36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3B568F">
        <w:rPr>
          <w:rFonts w:ascii="Times New Roman" w:hAnsi="Times New Roman"/>
          <w:b/>
          <w:sz w:val="28"/>
          <w:szCs w:val="28"/>
        </w:rPr>
        <w:t>Κυρίες και Κύριοι,</w:t>
      </w:r>
    </w:p>
    <w:p w:rsidR="007C4430" w:rsidRPr="003B568F" w:rsidRDefault="008C1DD8" w:rsidP="003B568F">
      <w:pPr>
        <w:spacing w:line="360" w:lineRule="auto"/>
        <w:ind w:left="-142" w:firstLine="720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 xml:space="preserve">Αυτό που </w:t>
      </w:r>
      <w:r w:rsidR="00762055" w:rsidRPr="003B568F">
        <w:rPr>
          <w:rFonts w:ascii="Times New Roman" w:hAnsi="Times New Roman"/>
          <w:sz w:val="28"/>
          <w:szCs w:val="28"/>
        </w:rPr>
        <w:t xml:space="preserve">πρωτίστως </w:t>
      </w:r>
      <w:r w:rsidRPr="003B568F">
        <w:rPr>
          <w:rFonts w:ascii="Times New Roman" w:hAnsi="Times New Roman"/>
          <w:sz w:val="28"/>
          <w:szCs w:val="28"/>
        </w:rPr>
        <w:t>μας ενδιαφέρει σαν Οικονομική Επιτροπή είναι η απόλυτη τήρηση</w:t>
      </w:r>
      <w:r w:rsidR="007C4430" w:rsidRPr="003B568F">
        <w:rPr>
          <w:rFonts w:ascii="Times New Roman" w:hAnsi="Times New Roman"/>
          <w:sz w:val="28"/>
          <w:szCs w:val="28"/>
        </w:rPr>
        <w:t xml:space="preserve"> </w:t>
      </w:r>
      <w:r w:rsidRPr="003B568F">
        <w:rPr>
          <w:rFonts w:ascii="Times New Roman" w:hAnsi="Times New Roman"/>
          <w:sz w:val="28"/>
          <w:szCs w:val="28"/>
        </w:rPr>
        <w:t>τ</w:t>
      </w:r>
      <w:r w:rsidR="007C4430" w:rsidRPr="003B568F">
        <w:rPr>
          <w:rFonts w:ascii="Times New Roman" w:hAnsi="Times New Roman"/>
          <w:sz w:val="28"/>
          <w:szCs w:val="28"/>
        </w:rPr>
        <w:t>η</w:t>
      </w:r>
      <w:r w:rsidRPr="003B568F">
        <w:rPr>
          <w:rFonts w:ascii="Times New Roman" w:hAnsi="Times New Roman"/>
          <w:sz w:val="28"/>
          <w:szCs w:val="28"/>
        </w:rPr>
        <w:t>ς</w:t>
      </w:r>
      <w:r w:rsidR="007C4430" w:rsidRPr="003B568F">
        <w:rPr>
          <w:rFonts w:ascii="Times New Roman" w:hAnsi="Times New Roman"/>
          <w:sz w:val="28"/>
          <w:szCs w:val="28"/>
        </w:rPr>
        <w:t xml:space="preserve"> νομιμότητα</w:t>
      </w:r>
      <w:r w:rsidRPr="003B568F">
        <w:rPr>
          <w:rFonts w:ascii="Times New Roman" w:hAnsi="Times New Roman"/>
          <w:sz w:val="28"/>
          <w:szCs w:val="28"/>
        </w:rPr>
        <w:t>ς</w:t>
      </w:r>
      <w:r w:rsidR="007C4430" w:rsidRPr="003B568F">
        <w:rPr>
          <w:rFonts w:ascii="Times New Roman" w:hAnsi="Times New Roman"/>
          <w:sz w:val="28"/>
          <w:szCs w:val="28"/>
        </w:rPr>
        <w:t xml:space="preserve"> </w:t>
      </w:r>
      <w:r w:rsidRPr="003B568F">
        <w:rPr>
          <w:rFonts w:ascii="Times New Roman" w:hAnsi="Times New Roman"/>
          <w:sz w:val="28"/>
          <w:szCs w:val="28"/>
        </w:rPr>
        <w:t>και της διαφάνειας και από εκεί πηγάζει το σκεπτικό κάθε απόφασής μας.</w:t>
      </w:r>
    </w:p>
    <w:p w:rsidR="00F94CFC" w:rsidRPr="003B568F" w:rsidRDefault="00762055" w:rsidP="003B568F">
      <w:pPr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Σε αυτό το σημείο</w:t>
      </w:r>
      <w:r w:rsidR="008C1DD8" w:rsidRPr="003B568F">
        <w:rPr>
          <w:rFonts w:ascii="Times New Roman" w:hAnsi="Times New Roman"/>
          <w:sz w:val="28"/>
          <w:szCs w:val="28"/>
        </w:rPr>
        <w:t xml:space="preserve"> θα </w:t>
      </w:r>
      <w:r w:rsidR="006A6124" w:rsidRPr="003B568F">
        <w:rPr>
          <w:rFonts w:ascii="Times New Roman" w:hAnsi="Times New Roman"/>
          <w:sz w:val="28"/>
          <w:szCs w:val="28"/>
        </w:rPr>
        <w:t xml:space="preserve">ήθελα να ευχαριστήσω </w:t>
      </w:r>
      <w:r w:rsidR="00DF43CC" w:rsidRPr="003B568F">
        <w:rPr>
          <w:rFonts w:ascii="Times New Roman" w:hAnsi="Times New Roman"/>
          <w:sz w:val="28"/>
          <w:szCs w:val="28"/>
        </w:rPr>
        <w:t xml:space="preserve">όλους τους υπαλλήλους των υπηρεσιών της Περιφέρειάς μας, για την άριστη συνεργασία και την αμέριστη συμπαράστασή τους στο έργο </w:t>
      </w:r>
      <w:r w:rsidRPr="003B568F">
        <w:rPr>
          <w:rFonts w:ascii="Times New Roman" w:hAnsi="Times New Roman"/>
          <w:sz w:val="28"/>
          <w:szCs w:val="28"/>
        </w:rPr>
        <w:t>της Αντιπεριφέρειας Οικονομικών.</w:t>
      </w:r>
      <w:r w:rsidR="00E460DB" w:rsidRPr="003B568F">
        <w:rPr>
          <w:rFonts w:ascii="Times New Roman" w:hAnsi="Times New Roman"/>
          <w:sz w:val="28"/>
          <w:szCs w:val="28"/>
        </w:rPr>
        <w:t xml:space="preserve"> Ενώ θέλω να ευχαριστήσω και όλα τα μέλη της Οικονομικής Επιτροπής για την συνεργασία μας και την συνεισφορά τους στην εύρυθμη λειτουργία της.</w:t>
      </w:r>
    </w:p>
    <w:p w:rsidR="00C61A40" w:rsidRPr="003B568F" w:rsidRDefault="00E460DB" w:rsidP="003B568F">
      <w:pPr>
        <w:spacing w:after="0" w:line="36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3B568F">
        <w:rPr>
          <w:rFonts w:ascii="Times New Roman" w:hAnsi="Times New Roman"/>
          <w:sz w:val="28"/>
          <w:szCs w:val="28"/>
        </w:rPr>
        <w:t>Τέλος</w:t>
      </w:r>
      <w:r w:rsidR="006A6124" w:rsidRPr="003B568F">
        <w:rPr>
          <w:rFonts w:ascii="Times New Roman" w:hAnsi="Times New Roman"/>
          <w:sz w:val="28"/>
          <w:szCs w:val="28"/>
        </w:rPr>
        <w:t xml:space="preserve"> θέλω να ευχαριστήσω : τον Περιφερειάρχη Δυτικής Μακεδονίας για την εμπιστοσύνη που έδειξε στο πρόσωπό μου με την τοποθέτηση μου στην θέση του Αντιπεριφερειάρχη Οικονομικών και του Προέδρου της Οικονομικής Επιτροπής. </w:t>
      </w:r>
      <w:r w:rsidR="00F94CFC" w:rsidRPr="003B568F">
        <w:rPr>
          <w:rFonts w:ascii="Times New Roman" w:hAnsi="Times New Roman"/>
          <w:sz w:val="28"/>
          <w:szCs w:val="28"/>
        </w:rPr>
        <w:t xml:space="preserve"> </w:t>
      </w:r>
      <w:r w:rsidRPr="003B568F">
        <w:rPr>
          <w:rFonts w:ascii="Times New Roman" w:hAnsi="Times New Roman"/>
          <w:sz w:val="28"/>
          <w:szCs w:val="28"/>
        </w:rPr>
        <w:t>Τους συνάδελφους</w:t>
      </w:r>
      <w:r w:rsidR="006A6124" w:rsidRPr="003B568F">
        <w:rPr>
          <w:rFonts w:ascii="Times New Roman" w:hAnsi="Times New Roman"/>
          <w:sz w:val="28"/>
          <w:szCs w:val="28"/>
        </w:rPr>
        <w:t xml:space="preserve"> Αντιπεριφε</w:t>
      </w:r>
      <w:r w:rsidRPr="003B568F">
        <w:rPr>
          <w:rFonts w:ascii="Times New Roman" w:hAnsi="Times New Roman"/>
          <w:sz w:val="28"/>
          <w:szCs w:val="28"/>
        </w:rPr>
        <w:t>ρειάρχες Περιφερειακών Ενοτήτων</w:t>
      </w:r>
      <w:r w:rsidR="00F94CFC" w:rsidRPr="003B568F">
        <w:rPr>
          <w:rFonts w:ascii="Times New Roman" w:hAnsi="Times New Roman"/>
          <w:sz w:val="28"/>
          <w:szCs w:val="28"/>
        </w:rPr>
        <w:t xml:space="preserve"> </w:t>
      </w:r>
      <w:r w:rsidR="00762055" w:rsidRPr="003B568F">
        <w:rPr>
          <w:rFonts w:ascii="Times New Roman" w:hAnsi="Times New Roman"/>
          <w:sz w:val="28"/>
          <w:szCs w:val="28"/>
        </w:rPr>
        <w:t xml:space="preserve">και θεματικούς, </w:t>
      </w:r>
      <w:r w:rsidR="006A6124" w:rsidRPr="003B568F">
        <w:rPr>
          <w:rFonts w:ascii="Times New Roman" w:hAnsi="Times New Roman"/>
          <w:sz w:val="28"/>
          <w:szCs w:val="28"/>
        </w:rPr>
        <w:t xml:space="preserve">καθώς επίσης </w:t>
      </w:r>
      <w:r w:rsidR="00F94CFC" w:rsidRPr="003B568F">
        <w:rPr>
          <w:rFonts w:ascii="Times New Roman" w:hAnsi="Times New Roman"/>
          <w:sz w:val="28"/>
          <w:szCs w:val="28"/>
        </w:rPr>
        <w:t>τον Εκτελεστικό Γραμματέα,</w:t>
      </w:r>
      <w:r w:rsidR="00413087" w:rsidRPr="003B568F">
        <w:rPr>
          <w:rFonts w:ascii="Times New Roman" w:hAnsi="Times New Roman"/>
          <w:sz w:val="28"/>
          <w:szCs w:val="28"/>
        </w:rPr>
        <w:t xml:space="preserve"> τον</w:t>
      </w:r>
      <w:r w:rsidR="006A6124" w:rsidRPr="003B568F">
        <w:rPr>
          <w:rFonts w:ascii="Times New Roman" w:hAnsi="Times New Roman"/>
          <w:sz w:val="28"/>
          <w:szCs w:val="28"/>
        </w:rPr>
        <w:t xml:space="preserve"> </w:t>
      </w:r>
      <w:r w:rsidR="00413087" w:rsidRPr="003B568F">
        <w:rPr>
          <w:rFonts w:ascii="Times New Roman" w:hAnsi="Times New Roman"/>
          <w:sz w:val="28"/>
          <w:szCs w:val="28"/>
        </w:rPr>
        <w:t xml:space="preserve">Πρόεδρο του Περιφερειακού Συμβουλίου, </w:t>
      </w:r>
      <w:r w:rsidR="0092157B" w:rsidRPr="003B568F">
        <w:rPr>
          <w:rFonts w:ascii="Times New Roman" w:hAnsi="Times New Roman"/>
          <w:sz w:val="28"/>
          <w:szCs w:val="28"/>
        </w:rPr>
        <w:t>την</w:t>
      </w:r>
      <w:r w:rsidR="00413087" w:rsidRPr="003B568F">
        <w:rPr>
          <w:rFonts w:ascii="Times New Roman" w:hAnsi="Times New Roman"/>
          <w:sz w:val="28"/>
          <w:szCs w:val="28"/>
        </w:rPr>
        <w:t xml:space="preserve"> </w:t>
      </w:r>
      <w:r w:rsidR="00F94CFC" w:rsidRPr="003B568F">
        <w:rPr>
          <w:rFonts w:ascii="Times New Roman" w:hAnsi="Times New Roman"/>
          <w:sz w:val="28"/>
          <w:szCs w:val="28"/>
        </w:rPr>
        <w:t>Συμπαραστάτη</w:t>
      </w:r>
      <w:r w:rsidRPr="003B568F">
        <w:rPr>
          <w:rFonts w:ascii="Times New Roman" w:hAnsi="Times New Roman"/>
          <w:sz w:val="28"/>
          <w:szCs w:val="28"/>
        </w:rPr>
        <w:t xml:space="preserve"> του Πολίτη και της Επιχείρησης και όλους</w:t>
      </w:r>
      <w:r w:rsidR="00F94CFC" w:rsidRPr="003B568F">
        <w:rPr>
          <w:rFonts w:ascii="Times New Roman" w:hAnsi="Times New Roman"/>
          <w:sz w:val="28"/>
          <w:szCs w:val="28"/>
        </w:rPr>
        <w:t xml:space="preserve"> </w:t>
      </w:r>
      <w:r w:rsidRPr="003B568F">
        <w:rPr>
          <w:rFonts w:ascii="Times New Roman" w:hAnsi="Times New Roman"/>
          <w:sz w:val="28"/>
          <w:szCs w:val="28"/>
        </w:rPr>
        <w:t>τους Περιφερειακούς Συμβούλους της Περιφέρειας Δυτικής Μακεδονίας.</w:t>
      </w:r>
    </w:p>
    <w:p w:rsidR="008B6C05" w:rsidRDefault="00C61A40" w:rsidP="00C61A40">
      <w:pPr>
        <w:spacing w:after="0" w:line="360" w:lineRule="auto"/>
        <w:ind w:left="5760"/>
        <w:rPr>
          <w:rFonts w:ascii="Times New Roman" w:hAnsi="Times New Roman"/>
          <w:sz w:val="26"/>
          <w:szCs w:val="26"/>
        </w:rPr>
      </w:pPr>
      <w:r w:rsidRPr="003B568F">
        <w:rPr>
          <w:rFonts w:ascii="Times New Roman" w:hAnsi="Times New Roman"/>
          <w:sz w:val="26"/>
          <w:szCs w:val="26"/>
        </w:rPr>
        <w:t xml:space="preserve">    </w:t>
      </w:r>
    </w:p>
    <w:p w:rsidR="00C61A40" w:rsidRPr="003B568F" w:rsidRDefault="008B6C05" w:rsidP="00C61A40">
      <w:pPr>
        <w:spacing w:after="0" w:line="360" w:lineRule="auto"/>
        <w:ind w:left="57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</w:t>
      </w:r>
      <w:r w:rsidR="00C61A40" w:rsidRPr="003B568F">
        <w:rPr>
          <w:rFonts w:ascii="Times New Roman" w:hAnsi="Times New Roman"/>
          <w:sz w:val="26"/>
          <w:szCs w:val="26"/>
        </w:rPr>
        <w:t xml:space="preserve"> </w:t>
      </w:r>
      <w:r w:rsidR="000E4F0E" w:rsidRPr="003B568F">
        <w:rPr>
          <w:rFonts w:ascii="Times New Roman" w:hAnsi="Times New Roman"/>
          <w:sz w:val="26"/>
          <w:szCs w:val="26"/>
        </w:rPr>
        <w:t>Η</w:t>
      </w:r>
    </w:p>
    <w:p w:rsidR="00C61A40" w:rsidRPr="003B568F" w:rsidRDefault="00C61A40" w:rsidP="00C61A40">
      <w:pPr>
        <w:spacing w:after="0" w:line="360" w:lineRule="auto"/>
        <w:ind w:left="4320"/>
        <w:rPr>
          <w:rFonts w:ascii="Times New Roman" w:hAnsi="Times New Roman"/>
          <w:sz w:val="26"/>
          <w:szCs w:val="26"/>
        </w:rPr>
      </w:pPr>
      <w:r w:rsidRPr="003B568F">
        <w:rPr>
          <w:rFonts w:ascii="Times New Roman" w:hAnsi="Times New Roman"/>
          <w:sz w:val="26"/>
          <w:szCs w:val="26"/>
        </w:rPr>
        <w:t xml:space="preserve">      Αντιπεριφερειάρχης Οικονομικών</w:t>
      </w:r>
    </w:p>
    <w:p w:rsidR="00C61A40" w:rsidRPr="003B568F" w:rsidRDefault="00C61A40" w:rsidP="00C61A40">
      <w:pPr>
        <w:spacing w:after="0" w:line="360" w:lineRule="auto"/>
        <w:rPr>
          <w:rFonts w:ascii="Times New Roman" w:hAnsi="Times New Roman"/>
          <w:sz w:val="26"/>
          <w:szCs w:val="26"/>
        </w:rPr>
      </w:pPr>
      <w:r w:rsidRPr="003B568F">
        <w:rPr>
          <w:rFonts w:ascii="Times New Roman" w:hAnsi="Times New Roman"/>
          <w:sz w:val="26"/>
          <w:szCs w:val="26"/>
        </w:rPr>
        <w:t xml:space="preserve"> </w:t>
      </w:r>
      <w:r w:rsidRPr="003B568F">
        <w:rPr>
          <w:rFonts w:ascii="Times New Roman" w:hAnsi="Times New Roman"/>
          <w:sz w:val="26"/>
          <w:szCs w:val="26"/>
        </w:rPr>
        <w:tab/>
      </w:r>
      <w:r w:rsidRPr="003B568F">
        <w:rPr>
          <w:rFonts w:ascii="Times New Roman" w:hAnsi="Times New Roman"/>
          <w:sz w:val="26"/>
          <w:szCs w:val="26"/>
        </w:rPr>
        <w:tab/>
      </w:r>
      <w:r w:rsidRPr="003B568F">
        <w:rPr>
          <w:rFonts w:ascii="Times New Roman" w:hAnsi="Times New Roman"/>
          <w:sz w:val="26"/>
          <w:szCs w:val="26"/>
        </w:rPr>
        <w:tab/>
      </w:r>
      <w:r w:rsidRPr="003B568F">
        <w:rPr>
          <w:rFonts w:ascii="Times New Roman" w:hAnsi="Times New Roman"/>
          <w:sz w:val="26"/>
          <w:szCs w:val="26"/>
        </w:rPr>
        <w:tab/>
      </w:r>
      <w:r w:rsidRPr="003B568F">
        <w:rPr>
          <w:rFonts w:ascii="Times New Roman" w:hAnsi="Times New Roman"/>
          <w:sz w:val="26"/>
          <w:szCs w:val="26"/>
        </w:rPr>
        <w:tab/>
      </w:r>
      <w:r w:rsidRPr="003B568F">
        <w:rPr>
          <w:rFonts w:ascii="Times New Roman" w:hAnsi="Times New Roman"/>
          <w:sz w:val="26"/>
          <w:szCs w:val="26"/>
        </w:rPr>
        <w:tab/>
      </w:r>
      <w:r w:rsidRPr="003B568F">
        <w:rPr>
          <w:rFonts w:ascii="Times New Roman" w:hAnsi="Times New Roman"/>
          <w:sz w:val="26"/>
          <w:szCs w:val="26"/>
        </w:rPr>
        <w:tab/>
      </w:r>
      <w:r w:rsidRPr="003B568F">
        <w:rPr>
          <w:rFonts w:ascii="Times New Roman" w:hAnsi="Times New Roman"/>
          <w:sz w:val="26"/>
          <w:szCs w:val="26"/>
        </w:rPr>
        <w:tab/>
        <w:t xml:space="preserve">       &amp;</w:t>
      </w:r>
    </w:p>
    <w:p w:rsidR="00C61A40" w:rsidRPr="003B568F" w:rsidRDefault="000E4F0E" w:rsidP="00C61A40">
      <w:pPr>
        <w:spacing w:after="0" w:line="360" w:lineRule="auto"/>
        <w:ind w:left="4320" w:right="-625"/>
        <w:rPr>
          <w:rFonts w:ascii="Times New Roman" w:hAnsi="Times New Roman"/>
          <w:sz w:val="26"/>
          <w:szCs w:val="26"/>
        </w:rPr>
      </w:pPr>
      <w:r w:rsidRPr="003B568F">
        <w:rPr>
          <w:rFonts w:ascii="Times New Roman" w:hAnsi="Times New Roman"/>
          <w:sz w:val="26"/>
          <w:szCs w:val="26"/>
        </w:rPr>
        <w:t>Πρόεδρος</w:t>
      </w:r>
      <w:r w:rsidR="00C61A40" w:rsidRPr="003B568F">
        <w:rPr>
          <w:rFonts w:ascii="Times New Roman" w:hAnsi="Times New Roman"/>
          <w:sz w:val="26"/>
          <w:szCs w:val="26"/>
        </w:rPr>
        <w:t xml:space="preserve"> της Οικονομικής Επιτροπής</w:t>
      </w:r>
    </w:p>
    <w:p w:rsidR="00C61A40" w:rsidRPr="003B568F" w:rsidRDefault="00C61A40" w:rsidP="00C61A40">
      <w:pPr>
        <w:spacing w:after="0" w:line="360" w:lineRule="auto"/>
        <w:ind w:left="2880" w:firstLine="720"/>
        <w:jc w:val="center"/>
        <w:rPr>
          <w:rFonts w:ascii="Times New Roman" w:hAnsi="Times New Roman"/>
          <w:sz w:val="26"/>
          <w:szCs w:val="26"/>
        </w:rPr>
      </w:pPr>
    </w:p>
    <w:p w:rsidR="00C61A40" w:rsidRPr="003B568F" w:rsidRDefault="00C61A40" w:rsidP="00224D26">
      <w:pPr>
        <w:spacing w:after="0" w:line="360" w:lineRule="auto"/>
        <w:rPr>
          <w:rFonts w:ascii="Times New Roman" w:hAnsi="Times New Roman"/>
          <w:sz w:val="26"/>
          <w:szCs w:val="26"/>
        </w:rPr>
      </w:pPr>
    </w:p>
    <w:p w:rsidR="00C61A40" w:rsidRPr="003B568F" w:rsidRDefault="00C61A40" w:rsidP="00224D26">
      <w:pPr>
        <w:spacing w:after="0" w:line="360" w:lineRule="auto"/>
        <w:ind w:left="5040"/>
        <w:rPr>
          <w:rFonts w:ascii="Times New Roman" w:hAnsi="Times New Roman"/>
          <w:sz w:val="26"/>
          <w:szCs w:val="26"/>
        </w:rPr>
      </w:pPr>
      <w:r w:rsidRPr="003B568F">
        <w:rPr>
          <w:rFonts w:ascii="Times New Roman" w:hAnsi="Times New Roman"/>
          <w:sz w:val="26"/>
          <w:szCs w:val="26"/>
        </w:rPr>
        <w:t xml:space="preserve">     </w:t>
      </w:r>
      <w:r w:rsidR="000E4F0E" w:rsidRPr="003B568F">
        <w:rPr>
          <w:rFonts w:ascii="Times New Roman" w:hAnsi="Times New Roman"/>
          <w:sz w:val="26"/>
          <w:szCs w:val="26"/>
        </w:rPr>
        <w:t>Μαρία Σ. Καρυπίδου</w:t>
      </w:r>
    </w:p>
    <w:sectPr w:rsidR="00C61A40" w:rsidRPr="003B568F" w:rsidSect="003B568F"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1E6" w:rsidRDefault="009E61E6" w:rsidP="00F733D9">
      <w:pPr>
        <w:spacing w:after="0" w:line="240" w:lineRule="auto"/>
      </w:pPr>
      <w:r>
        <w:separator/>
      </w:r>
    </w:p>
  </w:endnote>
  <w:endnote w:type="continuationSeparator" w:id="0">
    <w:p w:rsidR="009E61E6" w:rsidRDefault="009E61E6" w:rsidP="00F73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FF9" w:rsidRDefault="007D4FF9" w:rsidP="00807320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1E6" w:rsidRDefault="009E61E6" w:rsidP="00F733D9">
      <w:pPr>
        <w:spacing w:after="0" w:line="240" w:lineRule="auto"/>
      </w:pPr>
      <w:r>
        <w:separator/>
      </w:r>
    </w:p>
  </w:footnote>
  <w:footnote w:type="continuationSeparator" w:id="0">
    <w:p w:rsidR="009E61E6" w:rsidRDefault="009E61E6" w:rsidP="00F73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D37D9"/>
    <w:multiLevelType w:val="hybridMultilevel"/>
    <w:tmpl w:val="6DE6751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F14957"/>
    <w:multiLevelType w:val="hybridMultilevel"/>
    <w:tmpl w:val="322C4E4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171B4"/>
    <w:multiLevelType w:val="hybridMultilevel"/>
    <w:tmpl w:val="C0A4DA7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C917A9"/>
    <w:multiLevelType w:val="hybridMultilevel"/>
    <w:tmpl w:val="AB8CBD0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47E2E"/>
    <w:multiLevelType w:val="hybridMultilevel"/>
    <w:tmpl w:val="0D783A2A"/>
    <w:lvl w:ilvl="0" w:tplc="0408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AD5"/>
    <w:rsid w:val="000039EB"/>
    <w:rsid w:val="00013DD1"/>
    <w:rsid w:val="00017D1D"/>
    <w:rsid w:val="00017FFA"/>
    <w:rsid w:val="00045CB2"/>
    <w:rsid w:val="00062E30"/>
    <w:rsid w:val="0007560A"/>
    <w:rsid w:val="00083D47"/>
    <w:rsid w:val="000908CB"/>
    <w:rsid w:val="00093162"/>
    <w:rsid w:val="00096CE8"/>
    <w:rsid w:val="00097596"/>
    <w:rsid w:val="000A50C5"/>
    <w:rsid w:val="000B10B2"/>
    <w:rsid w:val="000B63D8"/>
    <w:rsid w:val="000C2679"/>
    <w:rsid w:val="000C3B51"/>
    <w:rsid w:val="000C65DC"/>
    <w:rsid w:val="000D40BF"/>
    <w:rsid w:val="000E147C"/>
    <w:rsid w:val="000E4F0E"/>
    <w:rsid w:val="000F6038"/>
    <w:rsid w:val="001013C2"/>
    <w:rsid w:val="001160F2"/>
    <w:rsid w:val="00120E14"/>
    <w:rsid w:val="001223F8"/>
    <w:rsid w:val="001235FE"/>
    <w:rsid w:val="00124FEF"/>
    <w:rsid w:val="00131A46"/>
    <w:rsid w:val="00132D8E"/>
    <w:rsid w:val="0013573C"/>
    <w:rsid w:val="0014548C"/>
    <w:rsid w:val="00157330"/>
    <w:rsid w:val="00165622"/>
    <w:rsid w:val="00176C07"/>
    <w:rsid w:val="00196BAB"/>
    <w:rsid w:val="001B23B4"/>
    <w:rsid w:val="001B6635"/>
    <w:rsid w:val="001F18D9"/>
    <w:rsid w:val="00201B79"/>
    <w:rsid w:val="0020764D"/>
    <w:rsid w:val="00214CED"/>
    <w:rsid w:val="00221E9B"/>
    <w:rsid w:val="00224D26"/>
    <w:rsid w:val="00224D9B"/>
    <w:rsid w:val="00240F6B"/>
    <w:rsid w:val="00245EFC"/>
    <w:rsid w:val="00251E5F"/>
    <w:rsid w:val="00260DFA"/>
    <w:rsid w:val="00265D9F"/>
    <w:rsid w:val="00266D9C"/>
    <w:rsid w:val="002740D9"/>
    <w:rsid w:val="00280428"/>
    <w:rsid w:val="00290B4C"/>
    <w:rsid w:val="0029229E"/>
    <w:rsid w:val="002A27F4"/>
    <w:rsid w:val="00313F8D"/>
    <w:rsid w:val="003201C5"/>
    <w:rsid w:val="00321504"/>
    <w:rsid w:val="00324569"/>
    <w:rsid w:val="003301C5"/>
    <w:rsid w:val="003442EE"/>
    <w:rsid w:val="00362D6E"/>
    <w:rsid w:val="00367A48"/>
    <w:rsid w:val="0038329F"/>
    <w:rsid w:val="003A3942"/>
    <w:rsid w:val="003A3CC7"/>
    <w:rsid w:val="003B2812"/>
    <w:rsid w:val="003B568F"/>
    <w:rsid w:val="003B5AFD"/>
    <w:rsid w:val="003B7BE9"/>
    <w:rsid w:val="003C09A0"/>
    <w:rsid w:val="003C7C04"/>
    <w:rsid w:val="003D734A"/>
    <w:rsid w:val="003E6F5A"/>
    <w:rsid w:val="00411120"/>
    <w:rsid w:val="00412435"/>
    <w:rsid w:val="00413087"/>
    <w:rsid w:val="004223C1"/>
    <w:rsid w:val="0042362D"/>
    <w:rsid w:val="00427E61"/>
    <w:rsid w:val="0043069D"/>
    <w:rsid w:val="0043644B"/>
    <w:rsid w:val="00451A65"/>
    <w:rsid w:val="00490FDA"/>
    <w:rsid w:val="0049156F"/>
    <w:rsid w:val="004A3C72"/>
    <w:rsid w:val="004A6463"/>
    <w:rsid w:val="004B730D"/>
    <w:rsid w:val="004C6CBC"/>
    <w:rsid w:val="004D0840"/>
    <w:rsid w:val="004F173C"/>
    <w:rsid w:val="004F307B"/>
    <w:rsid w:val="0050078B"/>
    <w:rsid w:val="00524E4F"/>
    <w:rsid w:val="00526D3B"/>
    <w:rsid w:val="0054332B"/>
    <w:rsid w:val="0055501C"/>
    <w:rsid w:val="00555293"/>
    <w:rsid w:val="00561BF6"/>
    <w:rsid w:val="005719E4"/>
    <w:rsid w:val="00586DD6"/>
    <w:rsid w:val="00595AD5"/>
    <w:rsid w:val="005A0DE6"/>
    <w:rsid w:val="005B7598"/>
    <w:rsid w:val="005B79EA"/>
    <w:rsid w:val="005C091F"/>
    <w:rsid w:val="005C0D68"/>
    <w:rsid w:val="005C2A7D"/>
    <w:rsid w:val="005C3E8C"/>
    <w:rsid w:val="005D3D69"/>
    <w:rsid w:val="005D40D0"/>
    <w:rsid w:val="005D51A7"/>
    <w:rsid w:val="0060091C"/>
    <w:rsid w:val="00623BEB"/>
    <w:rsid w:val="00625A4B"/>
    <w:rsid w:val="00634950"/>
    <w:rsid w:val="00641DF6"/>
    <w:rsid w:val="00642FF8"/>
    <w:rsid w:val="00657708"/>
    <w:rsid w:val="006624D0"/>
    <w:rsid w:val="00662D1E"/>
    <w:rsid w:val="00663742"/>
    <w:rsid w:val="0066374C"/>
    <w:rsid w:val="0068359D"/>
    <w:rsid w:val="006A6124"/>
    <w:rsid w:val="006B3C4F"/>
    <w:rsid w:val="006B4D49"/>
    <w:rsid w:val="006D77C8"/>
    <w:rsid w:val="006E06BB"/>
    <w:rsid w:val="006E12CB"/>
    <w:rsid w:val="006E18AE"/>
    <w:rsid w:val="006E3ADD"/>
    <w:rsid w:val="006E7BAB"/>
    <w:rsid w:val="006F0911"/>
    <w:rsid w:val="006F1DB6"/>
    <w:rsid w:val="006F309D"/>
    <w:rsid w:val="00704E5C"/>
    <w:rsid w:val="007260B6"/>
    <w:rsid w:val="00743DDA"/>
    <w:rsid w:val="00745F7A"/>
    <w:rsid w:val="00762055"/>
    <w:rsid w:val="00783FE5"/>
    <w:rsid w:val="007A0D73"/>
    <w:rsid w:val="007A2AD6"/>
    <w:rsid w:val="007B7842"/>
    <w:rsid w:val="007C4430"/>
    <w:rsid w:val="007D4FF9"/>
    <w:rsid w:val="00807320"/>
    <w:rsid w:val="00812245"/>
    <w:rsid w:val="00833533"/>
    <w:rsid w:val="00834E17"/>
    <w:rsid w:val="00864019"/>
    <w:rsid w:val="0089139F"/>
    <w:rsid w:val="008A0469"/>
    <w:rsid w:val="008B5A21"/>
    <w:rsid w:val="008B6C05"/>
    <w:rsid w:val="008B7AEC"/>
    <w:rsid w:val="008B7BF5"/>
    <w:rsid w:val="008C1DD8"/>
    <w:rsid w:val="008C714A"/>
    <w:rsid w:val="008D4213"/>
    <w:rsid w:val="008E59EA"/>
    <w:rsid w:val="008F0D04"/>
    <w:rsid w:val="00900A34"/>
    <w:rsid w:val="00910598"/>
    <w:rsid w:val="009110DA"/>
    <w:rsid w:val="0092157B"/>
    <w:rsid w:val="00924096"/>
    <w:rsid w:val="009340CC"/>
    <w:rsid w:val="00965FB7"/>
    <w:rsid w:val="009856C7"/>
    <w:rsid w:val="009903CC"/>
    <w:rsid w:val="009B35FC"/>
    <w:rsid w:val="009D0114"/>
    <w:rsid w:val="009E12E3"/>
    <w:rsid w:val="009E52E1"/>
    <w:rsid w:val="009E61E6"/>
    <w:rsid w:val="00A31C61"/>
    <w:rsid w:val="00A3615B"/>
    <w:rsid w:val="00A43D3A"/>
    <w:rsid w:val="00A87402"/>
    <w:rsid w:val="00A9534F"/>
    <w:rsid w:val="00AA050F"/>
    <w:rsid w:val="00AA65E6"/>
    <w:rsid w:val="00AC5071"/>
    <w:rsid w:val="00AD1A66"/>
    <w:rsid w:val="00AE03A8"/>
    <w:rsid w:val="00AE7FDE"/>
    <w:rsid w:val="00B04FF1"/>
    <w:rsid w:val="00B11466"/>
    <w:rsid w:val="00B11961"/>
    <w:rsid w:val="00B148B8"/>
    <w:rsid w:val="00B2260F"/>
    <w:rsid w:val="00B23DF2"/>
    <w:rsid w:val="00B36749"/>
    <w:rsid w:val="00B37872"/>
    <w:rsid w:val="00B506F6"/>
    <w:rsid w:val="00B60D59"/>
    <w:rsid w:val="00B673F5"/>
    <w:rsid w:val="00B72F1C"/>
    <w:rsid w:val="00B91E56"/>
    <w:rsid w:val="00BA71A9"/>
    <w:rsid w:val="00BD098D"/>
    <w:rsid w:val="00BD2051"/>
    <w:rsid w:val="00BE1C91"/>
    <w:rsid w:val="00BE3D39"/>
    <w:rsid w:val="00BE5D1A"/>
    <w:rsid w:val="00C101D8"/>
    <w:rsid w:val="00C12353"/>
    <w:rsid w:val="00C14D54"/>
    <w:rsid w:val="00C21833"/>
    <w:rsid w:val="00C30A16"/>
    <w:rsid w:val="00C425D9"/>
    <w:rsid w:val="00C53F3D"/>
    <w:rsid w:val="00C61A40"/>
    <w:rsid w:val="00C850DB"/>
    <w:rsid w:val="00C96083"/>
    <w:rsid w:val="00CE1A59"/>
    <w:rsid w:val="00CF176C"/>
    <w:rsid w:val="00D0363F"/>
    <w:rsid w:val="00D21696"/>
    <w:rsid w:val="00D27BC6"/>
    <w:rsid w:val="00D83450"/>
    <w:rsid w:val="00DA2E06"/>
    <w:rsid w:val="00DB55D7"/>
    <w:rsid w:val="00DB726F"/>
    <w:rsid w:val="00DB7EEE"/>
    <w:rsid w:val="00DC07DE"/>
    <w:rsid w:val="00DC16F8"/>
    <w:rsid w:val="00DC3A39"/>
    <w:rsid w:val="00DC7B6D"/>
    <w:rsid w:val="00DD30A0"/>
    <w:rsid w:val="00DD3488"/>
    <w:rsid w:val="00DE315A"/>
    <w:rsid w:val="00DE68CC"/>
    <w:rsid w:val="00DE69DD"/>
    <w:rsid w:val="00DE6FD6"/>
    <w:rsid w:val="00DF43CC"/>
    <w:rsid w:val="00E0584A"/>
    <w:rsid w:val="00E12A8C"/>
    <w:rsid w:val="00E13235"/>
    <w:rsid w:val="00E13391"/>
    <w:rsid w:val="00E35D79"/>
    <w:rsid w:val="00E431BB"/>
    <w:rsid w:val="00E460DB"/>
    <w:rsid w:val="00E53E80"/>
    <w:rsid w:val="00E6511D"/>
    <w:rsid w:val="00E716F9"/>
    <w:rsid w:val="00E75D80"/>
    <w:rsid w:val="00E83D31"/>
    <w:rsid w:val="00E938F7"/>
    <w:rsid w:val="00EA1D6B"/>
    <w:rsid w:val="00EA4B71"/>
    <w:rsid w:val="00EB1376"/>
    <w:rsid w:val="00EB2474"/>
    <w:rsid w:val="00EC7021"/>
    <w:rsid w:val="00ED51DD"/>
    <w:rsid w:val="00EE37B3"/>
    <w:rsid w:val="00EE3E3A"/>
    <w:rsid w:val="00EE79C4"/>
    <w:rsid w:val="00EF0262"/>
    <w:rsid w:val="00F349F4"/>
    <w:rsid w:val="00F46C32"/>
    <w:rsid w:val="00F56C67"/>
    <w:rsid w:val="00F632C8"/>
    <w:rsid w:val="00F733D9"/>
    <w:rsid w:val="00F94CFC"/>
    <w:rsid w:val="00FB381F"/>
    <w:rsid w:val="00FC582E"/>
    <w:rsid w:val="00FD758D"/>
    <w:rsid w:val="00FD79E2"/>
    <w:rsid w:val="00FE1CA2"/>
    <w:rsid w:val="00FF3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ttereCarattereCharCharCharCharCharCharCharCharCharCharCharCharCharCharChar">
    <w:name w:val="Carattere Carattere Char Char Char Char Char Char Char Char Char Char Char Char Char Char Char"/>
    <w:basedOn w:val="a"/>
    <w:rsid w:val="00321504"/>
    <w:pPr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4">
    <w:name w:val="Strong"/>
    <w:basedOn w:val="a0"/>
    <w:uiPriority w:val="22"/>
    <w:qFormat/>
    <w:rsid w:val="00526D3B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F733D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F733D9"/>
    <w:rPr>
      <w:sz w:val="22"/>
      <w:szCs w:val="22"/>
      <w:lang w:eastAsia="en-US"/>
    </w:rPr>
  </w:style>
  <w:style w:type="paragraph" w:styleId="a6">
    <w:name w:val="footer"/>
    <w:basedOn w:val="a"/>
    <w:link w:val="Char0"/>
    <w:uiPriority w:val="99"/>
    <w:unhideWhenUsed/>
    <w:rsid w:val="00F733D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F733D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FCCD3-45CE-439B-89E8-9D64D04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660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drosia</dc:creator>
  <cp:lastModifiedBy>user</cp:lastModifiedBy>
  <cp:revision>2</cp:revision>
  <cp:lastPrinted>2017-01-24T13:29:00Z</cp:lastPrinted>
  <dcterms:created xsi:type="dcterms:W3CDTF">2017-01-24T13:30:00Z</dcterms:created>
  <dcterms:modified xsi:type="dcterms:W3CDTF">2017-01-24T13:30:00Z</dcterms:modified>
</cp:coreProperties>
</file>